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0175" w14:textId="77777777" w:rsidR="00C72FDA" w:rsidRDefault="00C72FDA" w:rsidP="00BD02A9">
      <w:pPr>
        <w:spacing w:after="0"/>
        <w:jc w:val="both"/>
      </w:pPr>
      <w:bookmarkStart w:id="0" w:name="_Hlk520968994"/>
    </w:p>
    <w:p w14:paraId="1386ED02" w14:textId="5A7910F2" w:rsidR="00BD02A9" w:rsidRPr="001233B5" w:rsidRDefault="00B25955" w:rsidP="00BD02A9">
      <w:pPr>
        <w:spacing w:after="0"/>
        <w:jc w:val="both"/>
      </w:pPr>
      <w:r w:rsidRPr="001233B5">
        <w:t>BENJAMIN R. ALDANA</w:t>
      </w:r>
      <w:r w:rsidR="00DD3245" w:rsidRPr="001233B5">
        <w:t xml:space="preserve"> </w:t>
      </w:r>
      <w:r w:rsidR="00BD02A9" w:rsidRPr="001233B5">
        <w:t>(</w:t>
      </w:r>
      <w:r w:rsidRPr="001233B5">
        <w:t>16769</w:t>
      </w:r>
      <w:r w:rsidR="00BD02A9" w:rsidRPr="001233B5">
        <w:t>)</w:t>
      </w:r>
    </w:p>
    <w:p w14:paraId="3A3F11B6" w14:textId="77777777" w:rsidR="00BD02A9" w:rsidRPr="001233B5" w:rsidRDefault="00BD02A9" w:rsidP="00BD02A9">
      <w:pPr>
        <w:spacing w:after="0"/>
        <w:ind w:left="0" w:right="0" w:firstLine="0"/>
        <w:jc w:val="both"/>
      </w:pPr>
      <w:r w:rsidRPr="001233B5">
        <w:t>UTAH COUNTY PUBLIC DEFENDER ASSOCIATION</w:t>
      </w:r>
    </w:p>
    <w:p w14:paraId="20973E7F" w14:textId="77777777" w:rsidR="00BD02A9" w:rsidRDefault="00BD02A9" w:rsidP="00BD02A9">
      <w:pPr>
        <w:spacing w:after="0"/>
        <w:ind w:left="0" w:right="0" w:firstLine="0"/>
        <w:jc w:val="both"/>
      </w:pPr>
      <w:r>
        <w:t>Attorney for Defendant</w:t>
      </w:r>
    </w:p>
    <w:p w14:paraId="65455DA2" w14:textId="10925E76" w:rsidR="00BD02A9" w:rsidRDefault="00A00AEC" w:rsidP="00BD02A9">
      <w:pPr>
        <w:spacing w:after="0"/>
        <w:ind w:left="0" w:right="0" w:firstLine="0"/>
        <w:jc w:val="both"/>
      </w:pPr>
      <w:r>
        <w:t>180 North</w:t>
      </w:r>
      <w:r w:rsidR="00BD02A9">
        <w:t xml:space="preserve"> University Ave. Suite </w:t>
      </w:r>
      <w:r>
        <w:t>140</w:t>
      </w:r>
    </w:p>
    <w:p w14:paraId="31260557" w14:textId="77777777" w:rsidR="00BD02A9" w:rsidRDefault="00BD02A9" w:rsidP="00BD02A9">
      <w:pPr>
        <w:spacing w:after="0"/>
        <w:ind w:left="0" w:right="0" w:firstLine="0"/>
        <w:jc w:val="both"/>
      </w:pPr>
      <w:r>
        <w:t>Provo, Utah 84601</w:t>
      </w:r>
    </w:p>
    <w:p w14:paraId="2DAE5781" w14:textId="603FEB77" w:rsidR="00BD02A9" w:rsidRDefault="00BD02A9" w:rsidP="00D4337B">
      <w:pPr>
        <w:ind w:left="0" w:right="0" w:firstLine="0"/>
        <w:jc w:val="both"/>
      </w:pPr>
      <w:r>
        <w:t>Telephone: (801) 852-1070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770"/>
        <w:gridCol w:w="4590"/>
      </w:tblGrid>
      <w:tr w:rsidR="00BD02A9" w:rsidRPr="00AE28A6" w14:paraId="7842388C" w14:textId="77777777" w:rsidTr="001E5AFA">
        <w:tc>
          <w:tcPr>
            <w:tcW w:w="9360" w:type="dxa"/>
            <w:gridSpan w:val="2"/>
            <w:tcBorders>
              <w:top w:val="single" w:sz="4" w:space="0" w:color="auto"/>
              <w:left w:val="nil"/>
              <w:bottom w:val="nil"/>
              <w:right w:val="nil"/>
            </w:tcBorders>
            <w:vAlign w:val="center"/>
          </w:tcPr>
          <w:p w14:paraId="35C4BE5D" w14:textId="77777777" w:rsidR="00BD02A9" w:rsidRPr="001233B5" w:rsidRDefault="00BD02A9" w:rsidP="00D9536E">
            <w:pPr>
              <w:spacing w:before="240" w:after="0" w:line="276" w:lineRule="auto"/>
              <w:ind w:left="0" w:right="0" w:firstLine="0"/>
              <w:jc w:val="center"/>
            </w:pPr>
            <w:r w:rsidRPr="001233B5">
              <w:t>IN THE FOURTH JUDICIAL DISTRICT COURT</w:t>
            </w:r>
          </w:p>
          <w:p w14:paraId="2444A387" w14:textId="1C881A1B" w:rsidR="001D3EDB" w:rsidRPr="001233B5" w:rsidRDefault="00BD02A9" w:rsidP="00531C85">
            <w:pPr>
              <w:ind w:left="0" w:right="0" w:firstLine="0"/>
              <w:jc w:val="center"/>
            </w:pPr>
            <w:r w:rsidRPr="001233B5">
              <w:t>UTAH COUNTY, STATE OF UTAH</w:t>
            </w:r>
          </w:p>
        </w:tc>
      </w:tr>
      <w:tr w:rsidR="0046207D" w:rsidRPr="00AE28A6" w14:paraId="1AE7E46C" w14:textId="77777777" w:rsidTr="001E5AFA">
        <w:tc>
          <w:tcPr>
            <w:tcW w:w="4770" w:type="dxa"/>
            <w:tcBorders>
              <w:top w:val="single" w:sz="4" w:space="0" w:color="000000"/>
              <w:left w:val="nil"/>
            </w:tcBorders>
          </w:tcPr>
          <w:p w14:paraId="188F4388" w14:textId="77777777" w:rsidR="00BD02A9" w:rsidRPr="001233B5" w:rsidRDefault="00E04CF9" w:rsidP="00D4337B">
            <w:pPr>
              <w:spacing w:before="240" w:after="0"/>
              <w:ind w:left="0" w:right="0" w:firstLine="0"/>
            </w:pPr>
            <w:r w:rsidRPr="001233B5">
              <w:t>STATE OF UTAH</w:t>
            </w:r>
            <w:r w:rsidR="00BD02A9" w:rsidRPr="001233B5">
              <w:t>,</w:t>
            </w:r>
          </w:p>
          <w:p w14:paraId="4B1E72B3" w14:textId="77777777" w:rsidR="00BD02A9" w:rsidRPr="001233B5" w:rsidRDefault="00BD02A9" w:rsidP="000459AD">
            <w:pPr>
              <w:spacing w:after="0"/>
              <w:ind w:left="0" w:right="0" w:firstLine="0"/>
            </w:pPr>
          </w:p>
          <w:p w14:paraId="6A232301" w14:textId="77777777" w:rsidR="00BD02A9" w:rsidRPr="001233B5" w:rsidRDefault="009957DB" w:rsidP="000459AD">
            <w:pPr>
              <w:spacing w:after="0"/>
              <w:ind w:right="0" w:firstLine="0"/>
            </w:pPr>
            <w:r w:rsidRPr="001233B5">
              <w:t>P</w:t>
            </w:r>
            <w:r w:rsidR="00E04CF9" w:rsidRPr="001233B5">
              <w:t>laintiff</w:t>
            </w:r>
            <w:r w:rsidR="00BD02A9" w:rsidRPr="001233B5">
              <w:t>,</w:t>
            </w:r>
          </w:p>
          <w:p w14:paraId="6102BF5E" w14:textId="77777777" w:rsidR="00BD02A9" w:rsidRPr="001233B5" w:rsidRDefault="00BD02A9" w:rsidP="000459AD">
            <w:pPr>
              <w:spacing w:after="0"/>
              <w:ind w:left="0" w:right="0" w:firstLine="0"/>
            </w:pPr>
          </w:p>
          <w:p w14:paraId="41746977" w14:textId="77777777" w:rsidR="00BD02A9" w:rsidRPr="001233B5" w:rsidRDefault="00BD02A9" w:rsidP="000459AD">
            <w:pPr>
              <w:spacing w:after="0"/>
              <w:ind w:left="360" w:right="0" w:firstLine="0"/>
            </w:pPr>
            <w:r w:rsidRPr="001233B5">
              <w:t>v.</w:t>
            </w:r>
          </w:p>
          <w:p w14:paraId="29FEDEC9" w14:textId="77777777" w:rsidR="00303B71" w:rsidRDefault="00303B71" w:rsidP="000459AD">
            <w:pPr>
              <w:spacing w:after="0"/>
              <w:ind w:left="0" w:right="0" w:firstLine="0"/>
            </w:pPr>
          </w:p>
          <w:p w14:paraId="31B595B8" w14:textId="480CA401" w:rsidR="009957DB" w:rsidRPr="001233B5" w:rsidRDefault="00E2047B" w:rsidP="000459AD">
            <w:pPr>
              <w:spacing w:after="0"/>
              <w:ind w:left="0" w:right="0" w:firstLine="0"/>
            </w:pPr>
            <w:r>
              <w:t>JANE DOE</w:t>
            </w:r>
            <w:r w:rsidR="00B25955" w:rsidRPr="001233B5">
              <w:t>,</w:t>
            </w:r>
          </w:p>
          <w:p w14:paraId="1E3D7F60" w14:textId="77777777" w:rsidR="009957DB" w:rsidRPr="001233B5" w:rsidRDefault="009957DB" w:rsidP="000459AD">
            <w:pPr>
              <w:spacing w:after="0"/>
              <w:ind w:left="0" w:right="0" w:firstLine="0"/>
            </w:pPr>
          </w:p>
          <w:p w14:paraId="5FCAFD28" w14:textId="1A6FC785" w:rsidR="001D3EDB" w:rsidRPr="001233B5" w:rsidRDefault="00E04CF9" w:rsidP="00D4337B">
            <w:pPr>
              <w:ind w:right="0" w:firstLine="0"/>
            </w:pPr>
            <w:r w:rsidRPr="001233B5">
              <w:t>Defendant</w:t>
            </w:r>
            <w:r w:rsidR="00BD02A9" w:rsidRPr="001233B5">
              <w:t>.</w:t>
            </w:r>
          </w:p>
        </w:tc>
        <w:tc>
          <w:tcPr>
            <w:tcW w:w="4590" w:type="dxa"/>
            <w:tcBorders>
              <w:top w:val="single" w:sz="4" w:space="0" w:color="000000"/>
              <w:right w:val="nil"/>
            </w:tcBorders>
          </w:tcPr>
          <w:p w14:paraId="59E522F9" w14:textId="29BAE334" w:rsidR="003B0A00" w:rsidRDefault="003B0A00" w:rsidP="003B0A00">
            <w:pPr>
              <w:spacing w:before="240" w:after="0"/>
              <w:ind w:left="252" w:right="0" w:firstLine="0"/>
              <w:jc w:val="center"/>
              <w:rPr>
                <w:bCs/>
              </w:rPr>
            </w:pPr>
            <w:r w:rsidRPr="00E90067">
              <w:rPr>
                <w:bCs/>
              </w:rPr>
              <w:t xml:space="preserve">MOTION FOR COURT ORDER TO OBTAIN </w:t>
            </w:r>
            <w:r>
              <w:rPr>
                <w:bCs/>
              </w:rPr>
              <w:t xml:space="preserve">RECORDS FROM THE UTAH COUNTY SHERIFF </w:t>
            </w:r>
            <w:r w:rsidRPr="00E90067">
              <w:rPr>
                <w:bCs/>
              </w:rPr>
              <w:t xml:space="preserve">PURSUANT TO </w:t>
            </w:r>
          </w:p>
          <w:p w14:paraId="467B892B" w14:textId="77777777" w:rsidR="003B0A00" w:rsidRPr="00E90067" w:rsidRDefault="003B0A00" w:rsidP="003B0A00">
            <w:pPr>
              <w:spacing w:after="0"/>
              <w:ind w:left="252" w:right="0" w:firstLine="0"/>
              <w:jc w:val="center"/>
              <w:rPr>
                <w:bCs/>
              </w:rPr>
            </w:pPr>
            <w:r w:rsidRPr="00E90067">
              <w:rPr>
                <w:bCs/>
              </w:rPr>
              <w:t>THE GOVERNMENT RECORDS ACCESS MANAGEMENT ACT</w:t>
            </w:r>
          </w:p>
          <w:p w14:paraId="01B38FCB" w14:textId="77777777" w:rsidR="00B621C0" w:rsidRDefault="00B621C0" w:rsidP="00C043B4">
            <w:pPr>
              <w:spacing w:after="0"/>
              <w:ind w:left="252" w:right="0" w:firstLine="0"/>
              <w:jc w:val="center"/>
            </w:pPr>
          </w:p>
          <w:p w14:paraId="27D41419" w14:textId="2774F7A2" w:rsidR="00BD02A9" w:rsidRPr="001233B5" w:rsidRDefault="003827E6" w:rsidP="001D3EDB">
            <w:pPr>
              <w:spacing w:after="0"/>
              <w:ind w:left="252" w:right="0" w:firstLine="0"/>
              <w:jc w:val="center"/>
            </w:pPr>
            <w:r>
              <w:t>C</w:t>
            </w:r>
            <w:r w:rsidR="00BD02A9" w:rsidRPr="001233B5">
              <w:t>ase No</w:t>
            </w:r>
            <w:r w:rsidR="003C50AA" w:rsidRPr="001233B5">
              <w:t xml:space="preserve">. </w:t>
            </w:r>
            <w:r w:rsidR="00E2047B">
              <w:t>000000000</w:t>
            </w:r>
          </w:p>
          <w:p w14:paraId="2C306554" w14:textId="77777777" w:rsidR="00B621C0" w:rsidRDefault="00B621C0" w:rsidP="001D3EDB">
            <w:pPr>
              <w:spacing w:after="0"/>
              <w:ind w:left="252" w:right="0" w:firstLine="0"/>
              <w:jc w:val="center"/>
            </w:pPr>
          </w:p>
          <w:p w14:paraId="2D4A6A97" w14:textId="175182C1" w:rsidR="001D3EDB" w:rsidRPr="001233B5" w:rsidRDefault="00BD02A9" w:rsidP="00953D2F">
            <w:pPr>
              <w:ind w:left="252" w:right="0" w:firstLine="0"/>
              <w:jc w:val="center"/>
            </w:pPr>
            <w:r w:rsidRPr="001233B5">
              <w:t>Judge</w:t>
            </w:r>
            <w:r w:rsidR="001D3EDB">
              <w:t xml:space="preserve"> </w:t>
            </w:r>
            <w:r w:rsidR="00E2047B">
              <w:t>XXXXX</w:t>
            </w:r>
          </w:p>
        </w:tc>
      </w:tr>
    </w:tbl>
    <w:p w14:paraId="0EA6641B" w14:textId="0AC49259" w:rsidR="00C7426C" w:rsidRDefault="003B0A00" w:rsidP="003B0A00">
      <w:pPr>
        <w:spacing w:before="240" w:after="0" w:line="480" w:lineRule="auto"/>
        <w:ind w:left="0" w:right="0" w:firstLine="720"/>
        <w:jc w:val="both"/>
      </w:pPr>
      <w:bookmarkStart w:id="1" w:name="_Hlk35779830"/>
      <w:r w:rsidRPr="004512F8">
        <w:rPr>
          <w:szCs w:val="24"/>
        </w:rPr>
        <w:t xml:space="preserve">Defendant </w:t>
      </w:r>
      <w:r w:rsidR="00E2047B">
        <w:t>JANE DOE</w:t>
      </w:r>
      <w:r w:rsidR="002E3DCB" w:rsidRPr="004512F8">
        <w:rPr>
          <w:szCs w:val="24"/>
        </w:rPr>
        <w:t xml:space="preserve"> </w:t>
      </w:r>
      <w:r w:rsidRPr="004512F8">
        <w:rPr>
          <w:szCs w:val="24"/>
        </w:rPr>
        <w:t>(“M</w:t>
      </w:r>
      <w:r w:rsidR="002E3DCB">
        <w:rPr>
          <w:szCs w:val="24"/>
        </w:rPr>
        <w:t>s</w:t>
      </w:r>
      <w:r w:rsidRPr="004512F8">
        <w:rPr>
          <w:szCs w:val="24"/>
        </w:rPr>
        <w:t xml:space="preserve">. </w:t>
      </w:r>
      <w:r w:rsidR="00E2047B">
        <w:rPr>
          <w:szCs w:val="24"/>
        </w:rPr>
        <w:t>Doe</w:t>
      </w:r>
      <w:r w:rsidRPr="004512F8">
        <w:rPr>
          <w:szCs w:val="24"/>
        </w:rPr>
        <w:t>”), by and through h</w:t>
      </w:r>
      <w:r w:rsidR="002E3DCB">
        <w:rPr>
          <w:szCs w:val="24"/>
        </w:rPr>
        <w:t>er</w:t>
      </w:r>
      <w:r w:rsidRPr="004512F8">
        <w:rPr>
          <w:szCs w:val="24"/>
        </w:rPr>
        <w:t xml:space="preserve"> attorney of record, BENJAMIN R. ALDANA, hereby moves this Court</w:t>
      </w:r>
      <w:r>
        <w:rPr>
          <w:szCs w:val="24"/>
        </w:rPr>
        <w:t>,</w:t>
      </w:r>
      <w:r w:rsidRPr="004512F8">
        <w:rPr>
          <w:szCs w:val="24"/>
        </w:rPr>
        <w:t xml:space="preserve"> pursuant </w:t>
      </w:r>
      <w:bookmarkEnd w:id="1"/>
      <w:r w:rsidRPr="004512F8">
        <w:rPr>
          <w:szCs w:val="24"/>
        </w:rPr>
        <w:t xml:space="preserve">Utah Code </w:t>
      </w:r>
      <w:r>
        <w:rPr>
          <w:szCs w:val="24"/>
        </w:rPr>
        <w:t xml:space="preserve">§ </w:t>
      </w:r>
      <w:r w:rsidRPr="00FC3C2F">
        <w:t>63G-2-202</w:t>
      </w:r>
      <w:r>
        <w:t>, to order the Utah County Sheriff to release the following records to h</w:t>
      </w:r>
      <w:r w:rsidR="002E3DCB">
        <w:t>er</w:t>
      </w:r>
      <w:r>
        <w:t xml:space="preserve"> attorney</w:t>
      </w:r>
      <w:r w:rsidR="00D4337B">
        <w:t xml:space="preserve">: </w:t>
      </w:r>
    </w:p>
    <w:p w14:paraId="36DD73BA" w14:textId="2627BF25" w:rsidR="00B621C0" w:rsidRDefault="00ED614A" w:rsidP="00E2047B">
      <w:pPr>
        <w:pStyle w:val="ListParagraph"/>
        <w:numPr>
          <w:ilvl w:val="0"/>
          <w:numId w:val="6"/>
        </w:numPr>
        <w:spacing w:after="0" w:line="276" w:lineRule="auto"/>
        <w:ind w:left="1080"/>
        <w:jc w:val="both"/>
      </w:pPr>
      <w:r>
        <w:rPr>
          <w:u w:val="single"/>
        </w:rPr>
        <w:t>U</w:t>
      </w:r>
      <w:r w:rsidR="00B621C0" w:rsidRPr="00B621C0">
        <w:rPr>
          <w:u w:val="single"/>
        </w:rPr>
        <w:t>nredacted</w:t>
      </w:r>
      <w:r>
        <w:rPr>
          <w:u w:val="single"/>
        </w:rPr>
        <w:t xml:space="preserve"> and unedited</w:t>
      </w:r>
      <w:r w:rsidR="00B621C0" w:rsidRPr="00B621C0">
        <w:t xml:space="preserve"> cop</w:t>
      </w:r>
      <w:r>
        <w:t>ies</w:t>
      </w:r>
      <w:r w:rsidR="00B621C0" w:rsidRPr="00B621C0">
        <w:t xml:space="preserve"> of </w:t>
      </w:r>
      <w:proofErr w:type="gramStart"/>
      <w:r w:rsidR="00B621C0" w:rsidRPr="00B621C0">
        <w:t>any and all</w:t>
      </w:r>
      <w:proofErr w:type="gramEnd"/>
      <w:r w:rsidR="00B621C0" w:rsidRPr="00B621C0">
        <w:t xml:space="preserve"> </w:t>
      </w:r>
      <w:r w:rsidR="002E3DCB">
        <w:t xml:space="preserve">bodycam, dashcam, and any and all other video footage associated with </w:t>
      </w:r>
      <w:bookmarkStart w:id="2" w:name="_Hlk115379463"/>
      <w:r w:rsidR="00E2047B">
        <w:t>00UC00000</w:t>
      </w:r>
      <w:bookmarkEnd w:id="2"/>
      <w:r w:rsidR="002E3DCB">
        <w:t>, which is the Utah County Sheriff incident number associated with the above-entitled matter.</w:t>
      </w:r>
      <w:r w:rsidR="00B621C0" w:rsidRPr="00B621C0">
        <w:t xml:space="preserve"> </w:t>
      </w:r>
    </w:p>
    <w:p w14:paraId="409145AA" w14:textId="77777777" w:rsidR="003B0A00" w:rsidRPr="00B621C0" w:rsidRDefault="003B0A00" w:rsidP="00E2047B">
      <w:pPr>
        <w:pStyle w:val="ListParagraph"/>
        <w:spacing w:after="0" w:line="276" w:lineRule="auto"/>
        <w:ind w:left="1080" w:hanging="360"/>
        <w:jc w:val="both"/>
      </w:pPr>
    </w:p>
    <w:p w14:paraId="60722CDA" w14:textId="279973D7" w:rsidR="00B621C0" w:rsidRDefault="00C47518" w:rsidP="00E2047B">
      <w:pPr>
        <w:pStyle w:val="ListParagraph"/>
        <w:numPr>
          <w:ilvl w:val="0"/>
          <w:numId w:val="6"/>
        </w:numPr>
        <w:spacing w:after="0" w:line="276" w:lineRule="auto"/>
        <w:ind w:left="1080"/>
        <w:jc w:val="both"/>
      </w:pPr>
      <w:r>
        <w:rPr>
          <w:u w:val="single"/>
        </w:rPr>
        <w:t>U</w:t>
      </w:r>
      <w:r w:rsidR="00B621C0" w:rsidRPr="00B621C0">
        <w:rPr>
          <w:u w:val="single"/>
        </w:rPr>
        <w:t>nredacted</w:t>
      </w:r>
      <w:r w:rsidR="00B621C0" w:rsidRPr="00B621C0">
        <w:t xml:space="preserve"> cop</w:t>
      </w:r>
      <w:r>
        <w:t xml:space="preserve">ies of </w:t>
      </w:r>
      <w:proofErr w:type="gramStart"/>
      <w:r>
        <w:t>any and all</w:t>
      </w:r>
      <w:proofErr w:type="gramEnd"/>
      <w:r w:rsidR="00B621C0" w:rsidRPr="00B621C0">
        <w:t xml:space="preserve"> Utah County Sheriff’s </w:t>
      </w:r>
      <w:r w:rsidR="00C72FDA">
        <w:t xml:space="preserve">Office </w:t>
      </w:r>
      <w:r>
        <w:t>policies which are applicable to video recording(s) created</w:t>
      </w:r>
      <w:r w:rsidR="00AD3E6A">
        <w:t xml:space="preserve"> by </w:t>
      </w:r>
      <w:r w:rsidR="00C72FDA" w:rsidRPr="00B621C0">
        <w:t xml:space="preserve">Utah County Sheriff’s </w:t>
      </w:r>
      <w:r w:rsidR="00C72FDA">
        <w:t>Office</w:t>
      </w:r>
      <w:r w:rsidR="00AD3E6A">
        <w:t xml:space="preserve"> employees </w:t>
      </w:r>
      <w:r w:rsidR="00201257">
        <w:t>and/</w:t>
      </w:r>
      <w:r w:rsidR="00AD3E6A">
        <w:t>or with its equipment</w:t>
      </w:r>
      <w:r>
        <w:t xml:space="preserve"> </w:t>
      </w:r>
      <w:r w:rsidR="00B621C0" w:rsidRPr="00B621C0">
        <w:t>that w</w:t>
      </w:r>
      <w:r w:rsidR="00AD3E6A">
        <w:t>ere</w:t>
      </w:r>
      <w:r w:rsidR="00B621C0" w:rsidRPr="00B621C0">
        <w:t xml:space="preserve"> in effect </w:t>
      </w:r>
      <w:r w:rsidR="00892481">
        <w:t xml:space="preserve">on </w:t>
      </w:r>
      <w:r w:rsidR="00B621C0" w:rsidRPr="00B621C0">
        <w:t>September</w:t>
      </w:r>
      <w:r w:rsidR="00892481">
        <w:t xml:space="preserve"> 2, </w:t>
      </w:r>
      <w:r w:rsidR="00B621C0" w:rsidRPr="00B621C0">
        <w:t>202</w:t>
      </w:r>
      <w:r w:rsidR="00AD3E6A">
        <w:t>2</w:t>
      </w:r>
      <w:r w:rsidR="003B0A00">
        <w:t>.</w:t>
      </w:r>
      <w:r w:rsidR="00B621C0" w:rsidRPr="00B621C0">
        <w:t xml:space="preserve"> </w:t>
      </w:r>
    </w:p>
    <w:p w14:paraId="6BE0AA2B" w14:textId="77777777" w:rsidR="00C7426C" w:rsidRDefault="00C7426C" w:rsidP="00E2047B">
      <w:pPr>
        <w:pStyle w:val="ListParagraph"/>
        <w:spacing w:after="0"/>
        <w:ind w:left="1080" w:hanging="360"/>
      </w:pPr>
    </w:p>
    <w:p w14:paraId="52E0CC6B" w14:textId="66D0271A" w:rsidR="00C7426C" w:rsidRDefault="00C7426C" w:rsidP="00E2047B">
      <w:pPr>
        <w:pStyle w:val="ListParagraph"/>
        <w:numPr>
          <w:ilvl w:val="0"/>
          <w:numId w:val="6"/>
        </w:numPr>
        <w:spacing w:after="0" w:line="276" w:lineRule="auto"/>
        <w:ind w:left="1080"/>
        <w:jc w:val="both"/>
      </w:pPr>
      <w:r w:rsidRPr="00B621C0">
        <w:t xml:space="preserve">An </w:t>
      </w:r>
      <w:r w:rsidRPr="00B621C0">
        <w:rPr>
          <w:u w:val="single"/>
        </w:rPr>
        <w:t>unredacted</w:t>
      </w:r>
      <w:r w:rsidRPr="00B621C0">
        <w:t xml:space="preserve"> copy of the table of contents of the policy manual for the Utah County Sheriff’s </w:t>
      </w:r>
      <w:r w:rsidR="00C72FDA">
        <w:t>Office</w:t>
      </w:r>
      <w:r w:rsidRPr="00B621C0">
        <w:t xml:space="preserve"> that was in effect </w:t>
      </w:r>
      <w:r w:rsidR="00892481">
        <w:t xml:space="preserve">on </w:t>
      </w:r>
      <w:r w:rsidRPr="00B621C0">
        <w:t>September</w:t>
      </w:r>
      <w:r w:rsidR="00892481">
        <w:t xml:space="preserve"> 2, </w:t>
      </w:r>
      <w:r w:rsidRPr="00B621C0">
        <w:t>202</w:t>
      </w:r>
      <w:r w:rsidR="00892481">
        <w:t>2</w:t>
      </w:r>
      <w:r>
        <w:t>.</w:t>
      </w:r>
      <w:r w:rsidRPr="00B621C0">
        <w:t xml:space="preserve"> </w:t>
      </w:r>
    </w:p>
    <w:p w14:paraId="3D8F7FBB" w14:textId="77777777" w:rsidR="00C72FDA" w:rsidRDefault="00C72FDA" w:rsidP="003B0A00">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before="240" w:after="0" w:line="480" w:lineRule="auto"/>
        <w:ind w:left="0" w:right="0" w:firstLine="0"/>
        <w:jc w:val="center"/>
        <w:rPr>
          <w:b/>
          <w:bCs/>
          <w:szCs w:val="24"/>
          <w:u w:val="single"/>
        </w:rPr>
      </w:pPr>
    </w:p>
    <w:p w14:paraId="55B24DF5" w14:textId="2320D4C6" w:rsidR="003B0A00" w:rsidRPr="004512F8" w:rsidRDefault="003B0A00" w:rsidP="003B0A00">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before="240" w:after="0" w:line="480" w:lineRule="auto"/>
        <w:ind w:left="0" w:right="0" w:firstLine="0"/>
        <w:jc w:val="center"/>
        <w:rPr>
          <w:szCs w:val="24"/>
          <w:u w:val="single"/>
        </w:rPr>
      </w:pPr>
      <w:r w:rsidRPr="004512F8">
        <w:rPr>
          <w:b/>
          <w:bCs/>
          <w:szCs w:val="24"/>
          <w:u w:val="single"/>
        </w:rPr>
        <w:lastRenderedPageBreak/>
        <w:t>FACTS</w:t>
      </w:r>
    </w:p>
    <w:p w14:paraId="13983C4C" w14:textId="2BE66F26" w:rsidR="003B0A00" w:rsidRPr="00C7426C" w:rsidRDefault="003B0A00" w:rsidP="003B0A00">
      <w:pPr>
        <w:pStyle w:val="ListParagraph"/>
        <w:widowControl w:val="0"/>
        <w:numPr>
          <w:ilvl w:val="0"/>
          <w:numId w:val="11"/>
        </w:numPr>
        <w:tabs>
          <w:tab w:val="left" w:pos="1170"/>
        </w:tabs>
        <w:suppressAutoHyphens/>
        <w:spacing w:after="0" w:line="480" w:lineRule="auto"/>
        <w:ind w:left="1080"/>
        <w:contextualSpacing/>
        <w:jc w:val="both"/>
        <w:rPr>
          <w:szCs w:val="24"/>
          <w:u w:val="single"/>
        </w:rPr>
      </w:pPr>
      <w:r>
        <w:rPr>
          <w:szCs w:val="24"/>
        </w:rPr>
        <w:t xml:space="preserve">In this case, </w:t>
      </w:r>
      <w:r w:rsidR="00C7426C">
        <w:rPr>
          <w:szCs w:val="24"/>
        </w:rPr>
        <w:t xml:space="preserve">the Utah County Attorney’s Office has turned over six clips of bodycam footage from </w:t>
      </w:r>
      <w:r w:rsidR="003D0FD0">
        <w:rPr>
          <w:szCs w:val="24"/>
        </w:rPr>
        <w:t xml:space="preserve">the </w:t>
      </w:r>
      <w:r w:rsidR="00C7426C">
        <w:rPr>
          <w:szCs w:val="24"/>
        </w:rPr>
        <w:t>body worn cameras</w:t>
      </w:r>
      <w:r w:rsidR="003D0FD0">
        <w:rPr>
          <w:szCs w:val="24"/>
        </w:rPr>
        <w:t xml:space="preserve"> of 3 different deputies (notwithstanding the fact that the police report from </w:t>
      </w:r>
      <w:r w:rsidR="00E2047B">
        <w:t>00UC00000</w:t>
      </w:r>
      <w:r w:rsidR="003D0FD0">
        <w:t xml:space="preserve"> lists 13 different officers as having responded to the incident)</w:t>
      </w:r>
      <w:r w:rsidR="00C7426C">
        <w:rPr>
          <w:szCs w:val="24"/>
        </w:rPr>
        <w:t xml:space="preserve">; 2 clips of dashcam footage from 2 different police vehicles; and </w:t>
      </w:r>
      <w:r w:rsidR="00D732CF">
        <w:rPr>
          <w:szCs w:val="24"/>
        </w:rPr>
        <w:t>1</w:t>
      </w:r>
      <w:r w:rsidR="00C7426C">
        <w:rPr>
          <w:szCs w:val="24"/>
        </w:rPr>
        <w:t xml:space="preserve"> clip of video footage from the interior of a police vehicle.</w:t>
      </w:r>
    </w:p>
    <w:p w14:paraId="2CFDEAAD" w14:textId="1D882927" w:rsidR="00C7426C" w:rsidRPr="00D732CF" w:rsidRDefault="00C7426C" w:rsidP="003B0A00">
      <w:pPr>
        <w:pStyle w:val="ListParagraph"/>
        <w:widowControl w:val="0"/>
        <w:numPr>
          <w:ilvl w:val="0"/>
          <w:numId w:val="11"/>
        </w:numPr>
        <w:tabs>
          <w:tab w:val="left" w:pos="1170"/>
        </w:tabs>
        <w:suppressAutoHyphens/>
        <w:spacing w:after="0" w:line="480" w:lineRule="auto"/>
        <w:ind w:left="1080"/>
        <w:contextualSpacing/>
        <w:jc w:val="both"/>
        <w:rPr>
          <w:szCs w:val="24"/>
          <w:u w:val="single"/>
        </w:rPr>
      </w:pPr>
      <w:r>
        <w:rPr>
          <w:szCs w:val="24"/>
        </w:rPr>
        <w:t xml:space="preserve">The </w:t>
      </w:r>
      <w:r w:rsidR="003D0FD0">
        <w:rPr>
          <w:szCs w:val="24"/>
        </w:rPr>
        <w:t xml:space="preserve">bodycam footage </w:t>
      </w:r>
      <w:r w:rsidR="00094805">
        <w:rPr>
          <w:szCs w:val="24"/>
        </w:rPr>
        <w:t>appears to have</w:t>
      </w:r>
      <w:r w:rsidR="003D0FD0">
        <w:rPr>
          <w:szCs w:val="24"/>
        </w:rPr>
        <w:t xml:space="preserve"> been edited and/or redacted because there are multiple </w:t>
      </w:r>
      <w:r w:rsidR="00D732CF">
        <w:rPr>
          <w:szCs w:val="24"/>
        </w:rPr>
        <w:t>portions</w:t>
      </w:r>
      <w:r w:rsidR="003D0FD0">
        <w:rPr>
          <w:szCs w:val="24"/>
        </w:rPr>
        <w:t xml:space="preserve"> throughout the footage </w:t>
      </w:r>
      <w:r w:rsidR="00201257">
        <w:rPr>
          <w:szCs w:val="24"/>
        </w:rPr>
        <w:t xml:space="preserve">where the screen turns completely green and no sound can be heard, </w:t>
      </w:r>
      <w:proofErr w:type="gramStart"/>
      <w:r w:rsidR="00201257">
        <w:rPr>
          <w:szCs w:val="24"/>
        </w:rPr>
        <w:t>despite the fact that</w:t>
      </w:r>
      <w:proofErr w:type="gramEnd"/>
      <w:r w:rsidR="00201257">
        <w:rPr>
          <w:szCs w:val="24"/>
        </w:rPr>
        <w:t xml:space="preserve"> the</w:t>
      </w:r>
      <w:r w:rsidR="00D732CF">
        <w:rPr>
          <w:szCs w:val="24"/>
        </w:rPr>
        <w:t xml:space="preserve"> time clock on the video clip continues to run</w:t>
      </w:r>
      <w:r w:rsidR="003D0FD0">
        <w:rPr>
          <w:szCs w:val="24"/>
        </w:rPr>
        <w:t>.</w:t>
      </w:r>
    </w:p>
    <w:p w14:paraId="6CF63A86" w14:textId="17CDDD67" w:rsidR="00D732CF" w:rsidRPr="003B0A00" w:rsidRDefault="00D732CF" w:rsidP="003B0A00">
      <w:pPr>
        <w:pStyle w:val="ListParagraph"/>
        <w:widowControl w:val="0"/>
        <w:numPr>
          <w:ilvl w:val="0"/>
          <w:numId w:val="11"/>
        </w:numPr>
        <w:tabs>
          <w:tab w:val="left" w:pos="1170"/>
        </w:tabs>
        <w:suppressAutoHyphens/>
        <w:spacing w:after="0" w:line="480" w:lineRule="auto"/>
        <w:ind w:left="1080"/>
        <w:contextualSpacing/>
        <w:jc w:val="both"/>
        <w:rPr>
          <w:szCs w:val="24"/>
          <w:u w:val="single"/>
        </w:rPr>
      </w:pPr>
      <w:r>
        <w:rPr>
          <w:szCs w:val="24"/>
        </w:rPr>
        <w:t xml:space="preserve">Defense counsel has searched for the bodycam policy of the Utah County Sheriff’s </w:t>
      </w:r>
      <w:r w:rsidR="00094805">
        <w:rPr>
          <w:szCs w:val="24"/>
        </w:rPr>
        <w:t>Office</w:t>
      </w:r>
      <w:r>
        <w:rPr>
          <w:szCs w:val="24"/>
        </w:rPr>
        <w:t xml:space="preserve"> on its website and hasn’t been able to locate it.</w:t>
      </w:r>
    </w:p>
    <w:p w14:paraId="2F003A38" w14:textId="3D67FCB6" w:rsidR="003B0A00" w:rsidRPr="003B0A00" w:rsidRDefault="003B0A00" w:rsidP="003B0A00">
      <w:pPr>
        <w:pStyle w:val="ListParagraph"/>
        <w:widowControl w:val="0"/>
        <w:tabs>
          <w:tab w:val="left" w:pos="1170"/>
        </w:tabs>
        <w:suppressAutoHyphens/>
        <w:spacing w:after="0" w:line="480" w:lineRule="auto"/>
        <w:ind w:left="0" w:right="0" w:firstLine="0"/>
        <w:contextualSpacing/>
        <w:jc w:val="center"/>
        <w:rPr>
          <w:b/>
          <w:bCs/>
          <w:szCs w:val="24"/>
          <w:u w:val="single"/>
        </w:rPr>
      </w:pPr>
      <w:r w:rsidRPr="003B0A00">
        <w:rPr>
          <w:b/>
          <w:bCs/>
          <w:szCs w:val="24"/>
          <w:u w:val="single"/>
        </w:rPr>
        <w:t>ARGUMENT</w:t>
      </w:r>
    </w:p>
    <w:p w14:paraId="731CBAF9" w14:textId="020BF8CC" w:rsidR="00D732CF"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THE RECORDS IDENTIFIED AND REQUESTED IN THiS MOTION ARE </w:t>
      </w:r>
      <w:r w:rsidR="00BA6CD2">
        <w:rPr>
          <w:b/>
          <w:bCs/>
          <w:caps/>
          <w:szCs w:val="24"/>
        </w:rPr>
        <w:t>NECESSARY INVESTIGATIVE MATERIAL</w:t>
      </w:r>
      <w:r w:rsidR="00D732CF">
        <w:rPr>
          <w:b/>
          <w:bCs/>
          <w:caps/>
          <w:szCs w:val="24"/>
        </w:rPr>
        <w:t>S</w:t>
      </w:r>
      <w:r w:rsidR="00BA6CD2">
        <w:rPr>
          <w:b/>
          <w:bCs/>
          <w:caps/>
          <w:szCs w:val="24"/>
        </w:rPr>
        <w:t xml:space="preserve"> </w:t>
      </w:r>
      <w:r>
        <w:rPr>
          <w:b/>
          <w:bCs/>
          <w:caps/>
          <w:szCs w:val="24"/>
        </w:rPr>
        <w:t>THAT M</w:t>
      </w:r>
      <w:r w:rsidR="00D732CF">
        <w:rPr>
          <w:b/>
          <w:bCs/>
          <w:caps/>
          <w:szCs w:val="24"/>
        </w:rPr>
        <w:t>S</w:t>
      </w:r>
      <w:r>
        <w:rPr>
          <w:b/>
          <w:bCs/>
          <w:caps/>
          <w:szCs w:val="24"/>
        </w:rPr>
        <w:t xml:space="preserve">. </w:t>
      </w:r>
      <w:r w:rsidR="00E2047B">
        <w:rPr>
          <w:b/>
          <w:bCs/>
          <w:caps/>
          <w:szCs w:val="24"/>
        </w:rPr>
        <w:t>DOe</w:t>
      </w:r>
      <w:r>
        <w:rPr>
          <w:b/>
          <w:bCs/>
          <w:caps/>
          <w:szCs w:val="24"/>
        </w:rPr>
        <w:t xml:space="preserve"> </w:t>
      </w:r>
    </w:p>
    <w:p w14:paraId="7F912842" w14:textId="303DD94C" w:rsidR="00D732CF"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HAS THE RIGHT TO OBTAIN FOR uSe in THE </w:t>
      </w:r>
    </w:p>
    <w:p w14:paraId="697D5532" w14:textId="109039C2" w:rsidR="003B0A00" w:rsidRPr="004512F8" w:rsidRDefault="003B0A00" w:rsidP="003B0A00">
      <w:pPr>
        <w:pStyle w:val="ListParagraph"/>
        <w:widowControl w:val="0"/>
        <w:tabs>
          <w:tab w:val="left" w:pos="1170"/>
        </w:tabs>
        <w:suppressAutoHyphens/>
        <w:spacing w:after="0"/>
        <w:ind w:left="0" w:right="0" w:firstLine="0"/>
        <w:contextualSpacing/>
        <w:jc w:val="center"/>
        <w:rPr>
          <w:b/>
          <w:bCs/>
          <w:caps/>
          <w:szCs w:val="24"/>
        </w:rPr>
      </w:pPr>
      <w:r>
        <w:rPr>
          <w:b/>
          <w:bCs/>
          <w:caps/>
          <w:szCs w:val="24"/>
        </w:rPr>
        <w:t>PREPARATION OF H</w:t>
      </w:r>
      <w:r w:rsidR="00D732CF">
        <w:rPr>
          <w:b/>
          <w:bCs/>
          <w:caps/>
          <w:szCs w:val="24"/>
        </w:rPr>
        <w:t>er</w:t>
      </w:r>
      <w:r>
        <w:rPr>
          <w:b/>
          <w:bCs/>
          <w:caps/>
          <w:szCs w:val="24"/>
        </w:rPr>
        <w:t xml:space="preserve"> DEFENSE </w:t>
      </w:r>
    </w:p>
    <w:p w14:paraId="083A43A6" w14:textId="77777777" w:rsidR="003B0A00" w:rsidRPr="004512F8" w:rsidRDefault="003B0A00" w:rsidP="003B0A00">
      <w:pPr>
        <w:numPr>
          <w:ilvl w:val="12"/>
          <w:numId w:val="0"/>
        </w:numPr>
        <w:tabs>
          <w:tab w:val="left" w:pos="1170"/>
        </w:tabs>
        <w:spacing w:after="0"/>
        <w:rPr>
          <w:szCs w:val="24"/>
        </w:rPr>
      </w:pPr>
    </w:p>
    <w:p w14:paraId="3E41DAAC" w14:textId="5E0D46E2" w:rsidR="003B0A00" w:rsidRDefault="003B0A00" w:rsidP="003B0A00">
      <w:pPr>
        <w:pStyle w:val="NoSpacing"/>
        <w:spacing w:line="480" w:lineRule="auto"/>
        <w:ind w:left="0" w:right="0" w:firstLine="720"/>
        <w:jc w:val="both"/>
        <w:rPr>
          <w:szCs w:val="24"/>
        </w:rPr>
      </w:pPr>
      <w:r>
        <w:t>T</w:t>
      </w:r>
      <w:r w:rsidRPr="00542F53">
        <w:rPr>
          <w:szCs w:val="24"/>
        </w:rPr>
        <w:t>he United States and Utah Constitutions protect M</w:t>
      </w:r>
      <w:r w:rsidR="00D732CF">
        <w:rPr>
          <w:szCs w:val="24"/>
        </w:rPr>
        <w:t>s</w:t>
      </w:r>
      <w:r w:rsidRPr="00542F53">
        <w:rPr>
          <w:szCs w:val="24"/>
        </w:rPr>
        <w:t xml:space="preserve">. </w:t>
      </w:r>
      <w:r w:rsidR="00E2047B">
        <w:rPr>
          <w:szCs w:val="24"/>
        </w:rPr>
        <w:t>Doe</w:t>
      </w:r>
      <w:r w:rsidRPr="00542F53">
        <w:rPr>
          <w:szCs w:val="24"/>
        </w:rPr>
        <w:t xml:space="preserve">’s right to meaningfully present a </w:t>
      </w:r>
      <w:r w:rsidRPr="00542F53">
        <w:rPr>
          <w:i/>
          <w:szCs w:val="24"/>
        </w:rPr>
        <w:t>complete</w:t>
      </w:r>
      <w:r w:rsidRPr="00542F53">
        <w:rPr>
          <w:szCs w:val="24"/>
        </w:rPr>
        <w:t xml:space="preserve"> defense and to confront the witnesses against h</w:t>
      </w:r>
      <w:r w:rsidR="00D732CF">
        <w:rPr>
          <w:szCs w:val="24"/>
        </w:rPr>
        <w:t>er</w:t>
      </w:r>
      <w:r w:rsidRPr="00542F53">
        <w:rPr>
          <w:szCs w:val="24"/>
        </w:rPr>
        <w:t xml:space="preserve">.  </w:t>
      </w:r>
      <w:r w:rsidRPr="00542F53">
        <w:rPr>
          <w:i/>
          <w:szCs w:val="24"/>
        </w:rPr>
        <w:t>Crane v. Kentucky</w:t>
      </w:r>
      <w:r w:rsidRPr="00542F53">
        <w:rPr>
          <w:szCs w:val="24"/>
        </w:rPr>
        <w:t xml:space="preserve">, 476 U.S. 683 (1986) (“Whether rooted in the Due Process Clause . . . or the Sixth Amendment . . . the Constitution guarantees criminal defendants ‘a meaningful opportunity to present a complete defense.’”); </w:t>
      </w:r>
      <w:r w:rsidRPr="005F4F00">
        <w:rPr>
          <w:i/>
          <w:szCs w:val="24"/>
        </w:rPr>
        <w:t>see, e.g.</w:t>
      </w:r>
      <w:r w:rsidRPr="005F4F00">
        <w:rPr>
          <w:szCs w:val="24"/>
        </w:rPr>
        <w:t>,</w:t>
      </w:r>
      <w:r w:rsidRPr="005053B5">
        <w:rPr>
          <w:szCs w:val="24"/>
        </w:rPr>
        <w:t xml:space="preserve"> </w:t>
      </w:r>
      <w:r w:rsidRPr="005F4F00">
        <w:rPr>
          <w:i/>
          <w:szCs w:val="24"/>
        </w:rPr>
        <w:t>State v. Fulton</w:t>
      </w:r>
      <w:r w:rsidRPr="005053B5">
        <w:rPr>
          <w:szCs w:val="24"/>
        </w:rPr>
        <w:t>, 742 P.2d 1208</w:t>
      </w:r>
      <w:r>
        <w:rPr>
          <w:szCs w:val="24"/>
        </w:rPr>
        <w:t xml:space="preserve"> (Utah 1987)</w:t>
      </w:r>
      <w:r w:rsidRPr="005053B5">
        <w:rPr>
          <w:szCs w:val="24"/>
        </w:rPr>
        <w:t xml:space="preserve">, cert. denied, 484 U.S. 1044 (1988) (recognizing right </w:t>
      </w:r>
      <w:r>
        <w:rPr>
          <w:szCs w:val="24"/>
        </w:rPr>
        <w:t xml:space="preserve">to a fair trial </w:t>
      </w:r>
      <w:r w:rsidRPr="005053B5">
        <w:rPr>
          <w:szCs w:val="24"/>
        </w:rPr>
        <w:t>under state and federal due process provisions);</w:t>
      </w:r>
      <w:r>
        <w:rPr>
          <w:szCs w:val="24"/>
        </w:rPr>
        <w:t xml:space="preserve"> </w:t>
      </w:r>
      <w:r w:rsidRPr="00542F53">
        <w:rPr>
          <w:i/>
          <w:szCs w:val="24"/>
        </w:rPr>
        <w:t>see also</w:t>
      </w:r>
      <w:r w:rsidRPr="00542F53">
        <w:rPr>
          <w:szCs w:val="24"/>
        </w:rPr>
        <w:t xml:space="preserve"> </w:t>
      </w:r>
      <w:r w:rsidRPr="00542F53">
        <w:rPr>
          <w:i/>
          <w:szCs w:val="24"/>
        </w:rPr>
        <w:t>State v. Kendrick</w:t>
      </w:r>
      <w:r w:rsidRPr="00542F53">
        <w:rPr>
          <w:szCs w:val="24"/>
        </w:rPr>
        <w:t xml:space="preserve">, 538 P.2d 313 (Utah 1975) (recognizing the right to confrontation under Utah </w:t>
      </w:r>
      <w:r w:rsidRPr="00542F53">
        <w:rPr>
          <w:szCs w:val="24"/>
        </w:rPr>
        <w:lastRenderedPageBreak/>
        <w:t xml:space="preserve">Const. Art. I § 12); </w:t>
      </w:r>
      <w:r w:rsidRPr="00FD3E96">
        <w:rPr>
          <w:i/>
          <w:szCs w:val="24"/>
        </w:rPr>
        <w:t xml:space="preserve">see </w:t>
      </w:r>
      <w:r w:rsidRPr="00542F53">
        <w:rPr>
          <w:szCs w:val="24"/>
        </w:rPr>
        <w:t xml:space="preserve">Utah Const. Art. I § 7 (“No person shall be deprived of life, liberty or property, </w:t>
      </w:r>
      <w:r>
        <w:rPr>
          <w:szCs w:val="24"/>
        </w:rPr>
        <w:t xml:space="preserve">without due process of law.”).  </w:t>
      </w:r>
    </w:p>
    <w:p w14:paraId="7F6EC821" w14:textId="77777777" w:rsidR="003B0A00" w:rsidRDefault="003B0A00" w:rsidP="003B0A00">
      <w:pPr>
        <w:pStyle w:val="NoSpacing"/>
        <w:spacing w:line="480" w:lineRule="auto"/>
        <w:ind w:left="0" w:right="0" w:firstLine="720"/>
        <w:jc w:val="both"/>
      </w:pPr>
      <w:r>
        <w:rPr>
          <w:szCs w:val="24"/>
        </w:rPr>
        <w:t xml:space="preserve">Additionally, </w:t>
      </w:r>
      <w:r>
        <w:t xml:space="preserve">in </w:t>
      </w:r>
      <w:r w:rsidRPr="008E2117">
        <w:rPr>
          <w:i/>
          <w:iCs/>
        </w:rPr>
        <w:t>Brady v. Maryland</w:t>
      </w:r>
      <w:r>
        <w:t xml:space="preserve">, the Supreme Court held that “the suppression by the prosecution of evidence favorable to an accused upon request violates due process where the evidence is material either to guilt or punishment.”  373 U.S. 83, 87 (1963).  The United States Supreme Court later extended its holding in </w:t>
      </w:r>
      <w:r>
        <w:rPr>
          <w:i/>
        </w:rPr>
        <w:t xml:space="preserve">Brady v. </w:t>
      </w:r>
      <w:r w:rsidRPr="00897F6F">
        <w:rPr>
          <w:i/>
        </w:rPr>
        <w:t>Maryland</w:t>
      </w:r>
      <w:r>
        <w:t xml:space="preserve"> to include evidence that affects the credibility and/or reliability of a government witness stating, “[w]hen the ‘reliability of a given witness may well be determinative of guilt or innocence,’ nondisclosure of evidence affecting [that] credibility falls within this general rule.”  </w:t>
      </w:r>
      <w:r w:rsidRPr="002C1C26">
        <w:rPr>
          <w:i/>
          <w:iCs/>
        </w:rPr>
        <w:t>Giglio v. United States</w:t>
      </w:r>
      <w:r>
        <w:t xml:space="preserve">, 405 U.S. 150, 154 (1972) (quoting </w:t>
      </w:r>
      <w:proofErr w:type="spellStart"/>
      <w:r w:rsidRPr="008E2117">
        <w:rPr>
          <w:i/>
          <w:iCs/>
        </w:rPr>
        <w:t>Napue</w:t>
      </w:r>
      <w:proofErr w:type="spellEnd"/>
      <w:r w:rsidRPr="008E2117">
        <w:rPr>
          <w:i/>
          <w:iCs/>
        </w:rPr>
        <w:t xml:space="preserve"> v. Illinois</w:t>
      </w:r>
      <w:r>
        <w:t xml:space="preserve">, 360 U.S. 264, 269 (1959)).  This principle of required disclosure was reaffirmed in </w:t>
      </w:r>
      <w:r w:rsidRPr="008E2117">
        <w:rPr>
          <w:i/>
          <w:iCs/>
        </w:rPr>
        <w:t>United States v. Bagley</w:t>
      </w:r>
      <w:r>
        <w:t xml:space="preserve">, where the Supreme Court further explained that the </w:t>
      </w:r>
      <w:r w:rsidRPr="008E2117">
        <w:rPr>
          <w:i/>
          <w:iCs/>
        </w:rPr>
        <w:t xml:space="preserve">Brady </w:t>
      </w:r>
      <w:r>
        <w:t>rule extends to “[</w:t>
      </w:r>
      <w:proofErr w:type="spellStart"/>
      <w:r>
        <w:t>i</w:t>
      </w:r>
      <w:proofErr w:type="spellEnd"/>
      <w:r>
        <w:t xml:space="preserve">]impeachment evidence . . . as well as exculpatory evidence . . . [because] if disclosed and used effectively, [impeachment evidence] may make the difference between conviction and acquittal.”  473 U.S. 667, 676 (1985). </w:t>
      </w:r>
    </w:p>
    <w:p w14:paraId="3B2481B1" w14:textId="27EF20F1" w:rsidR="000D72ED" w:rsidRDefault="003B0A00" w:rsidP="003B0A00">
      <w:pPr>
        <w:spacing w:after="0" w:line="480" w:lineRule="auto"/>
        <w:ind w:left="0" w:right="0" w:firstLine="720"/>
        <w:jc w:val="both"/>
      </w:pPr>
      <w:r>
        <w:t xml:space="preserve">The requested records are </w:t>
      </w:r>
      <w:r w:rsidR="00967DFE">
        <w:t xml:space="preserve">being </w:t>
      </w:r>
      <w:r>
        <w:t xml:space="preserve">sought for the purpose </w:t>
      </w:r>
      <w:r w:rsidR="00D732CF">
        <w:t>of</w:t>
      </w:r>
      <w:r w:rsidR="00967DFE">
        <w:t xml:space="preserve"> conducting a full defense investigation into the facts underlying the allegations in the case now brought by the State of Utah against M</w:t>
      </w:r>
      <w:r w:rsidR="00D732CF">
        <w:t>s</w:t>
      </w:r>
      <w:r w:rsidR="00967DFE">
        <w:t xml:space="preserve">. </w:t>
      </w:r>
      <w:r w:rsidR="00E2047B">
        <w:t>Doe</w:t>
      </w:r>
      <w:r w:rsidR="00967DFE">
        <w:t xml:space="preserve">. </w:t>
      </w:r>
      <w:r w:rsidR="0012229F">
        <w:t xml:space="preserve"> The records also may contain impeachment material</w:t>
      </w:r>
      <w:r w:rsidR="00094805">
        <w:t>, but s</w:t>
      </w:r>
      <w:r w:rsidR="00BD4DC8">
        <w:t xml:space="preserve">ince they are unavailable to defense counsel, it is unknown if they contain </w:t>
      </w:r>
      <w:r w:rsidR="0070660F">
        <w:t>impeachment material, or other information material to</w:t>
      </w:r>
      <w:r w:rsidR="000D72ED">
        <w:t xml:space="preserve"> Ms. </w:t>
      </w:r>
      <w:r w:rsidR="00E2047B">
        <w:t>Doe</w:t>
      </w:r>
      <w:r w:rsidR="000D72ED">
        <w:t>’s</w:t>
      </w:r>
      <w:r w:rsidR="0070660F">
        <w:t xml:space="preserve"> guilt or innocence</w:t>
      </w:r>
      <w:r w:rsidR="0012229F">
        <w:t xml:space="preserve">.  </w:t>
      </w:r>
      <w:r w:rsidR="00094805">
        <w:t>A</w:t>
      </w:r>
      <w:r w:rsidR="00AB7D44">
        <w:t xml:space="preserve">side from the bodycam policy sought—which pursuant to Utah law should be posted on the website of the Utah County Sheriff’s </w:t>
      </w:r>
      <w:r w:rsidR="00094805">
        <w:t>Office</w:t>
      </w:r>
      <w:r w:rsidR="00AB7D44">
        <w:rPr>
          <w:rStyle w:val="FootnoteReference"/>
        </w:rPr>
        <w:footnoteReference w:id="1"/>
      </w:r>
      <w:r w:rsidR="00AB7D44">
        <w:t>—</w:t>
      </w:r>
      <w:r>
        <w:lastRenderedPageBreak/>
        <w:t xml:space="preserve">the records at issue are non-public records, the release of which is controlled by the Government Records Access Management Act (“GRAMA”), found in Utah Code §§ 63G-2-101, </w:t>
      </w:r>
      <w:r>
        <w:rPr>
          <w:i/>
        </w:rPr>
        <w:t>et seq</w:t>
      </w:r>
      <w:r>
        <w:t>.</w:t>
      </w:r>
      <w:r w:rsidR="00D56796">
        <w:t xml:space="preserve"> </w:t>
      </w:r>
      <w:r w:rsidR="00967DFE">
        <w:t xml:space="preserve"> </w:t>
      </w:r>
    </w:p>
    <w:p w14:paraId="0DC28AB3" w14:textId="77777777" w:rsidR="008917DF" w:rsidRDefault="00AB7D44" w:rsidP="003B0A00">
      <w:pPr>
        <w:spacing w:after="0" w:line="480" w:lineRule="auto"/>
        <w:ind w:left="0" w:right="0" w:firstLine="720"/>
        <w:jc w:val="both"/>
      </w:pPr>
      <w:r>
        <w:t xml:space="preserve">Normally the requirements of Rule 16 of the Utah Rules of </w:t>
      </w:r>
      <w:r w:rsidR="008917DF">
        <w:t>C</w:t>
      </w:r>
      <w:r>
        <w:t xml:space="preserve">riminal </w:t>
      </w:r>
      <w:r w:rsidR="008917DF">
        <w:t>P</w:t>
      </w:r>
      <w:r>
        <w:t>rocedure would be sufficient for defense counsel to gain access to the materials sought in the Motion, but it appears—at least with respect to the bodycam footage—that Rule 16 is not sufficient.</w:t>
      </w:r>
      <w:r w:rsidR="0012229F">
        <w:t xml:space="preserve">  The</w:t>
      </w:r>
      <w:r w:rsidR="00094805">
        <w:t>re</w:t>
      </w:r>
      <w:r w:rsidR="0012229F">
        <w:t xml:space="preserve"> is already an order in place in this matter directing the </w:t>
      </w:r>
      <w:r w:rsidR="00176121">
        <w:t>State</w:t>
      </w:r>
      <w:r w:rsidR="0012229F">
        <w:t xml:space="preserve"> to comply with Rule 16, and </w:t>
      </w:r>
      <w:r w:rsidR="00094805">
        <w:t xml:space="preserve">although </w:t>
      </w:r>
      <w:r w:rsidR="0012229F">
        <w:t>it appears that the Utah County Attorney’s Office</w:t>
      </w:r>
      <w:r w:rsidR="00094805">
        <w:t xml:space="preserve"> has attempted </w:t>
      </w:r>
      <w:r w:rsidR="008917DF">
        <w:t>comply</w:t>
      </w:r>
      <w:r w:rsidR="00094805">
        <w:t>, the Utah County Sheriff’s Office</w:t>
      </w:r>
      <w:r w:rsidR="00176121">
        <w:t>—</w:t>
      </w:r>
      <w:r w:rsidR="008917DF">
        <w:t xml:space="preserve">which is a </w:t>
      </w:r>
      <w:r w:rsidR="00176121">
        <w:t>part of “the State” in this case—</w:t>
      </w:r>
      <w:r w:rsidR="00094805">
        <w:t>seems to be preventing compliance with Rule 16</w:t>
      </w:r>
      <w:r w:rsidR="00BD4DC8">
        <w:t xml:space="preserve">.  </w:t>
      </w:r>
    </w:p>
    <w:p w14:paraId="0362D446" w14:textId="2F10E561" w:rsidR="00094805" w:rsidRDefault="00BD4DC8" w:rsidP="003B0A00">
      <w:pPr>
        <w:spacing w:after="0" w:line="480" w:lineRule="auto"/>
        <w:ind w:left="0" w:right="0" w:firstLine="720"/>
        <w:jc w:val="both"/>
      </w:pPr>
      <w:r>
        <w:t>As stated above, d</w:t>
      </w:r>
      <w:r w:rsidR="0012229F">
        <w:t xml:space="preserve">efense counsel </w:t>
      </w:r>
      <w:r>
        <w:t xml:space="preserve">has received several clips of video footage from the </w:t>
      </w:r>
      <w:proofErr w:type="gramStart"/>
      <w:r>
        <w:t>prosecution, and</w:t>
      </w:r>
      <w:proofErr w:type="gramEnd"/>
      <w:r>
        <w:t xml:space="preserve"> has no</w:t>
      </w:r>
      <w:r w:rsidR="000D72ED">
        <w:t xml:space="preserve"> </w:t>
      </w:r>
      <w:r>
        <w:t xml:space="preserve">reason to believe that anything is being withheld by the Utah County Attorney’s Office.  </w:t>
      </w:r>
      <w:r w:rsidR="0012229F">
        <w:t xml:space="preserve">What seems to be the problem is the Utah County Sheriff’s </w:t>
      </w:r>
      <w:r w:rsidR="00094805">
        <w:t>Office</w:t>
      </w:r>
      <w:r w:rsidR="0012229F">
        <w:t xml:space="preserve"> taking the </w:t>
      </w:r>
      <w:r w:rsidR="00094805">
        <w:t xml:space="preserve">unusual </w:t>
      </w:r>
      <w:r w:rsidR="0012229F">
        <w:t>step of redacting</w:t>
      </w:r>
      <w:r w:rsidR="008917DF">
        <w:t xml:space="preserve"> and/or editing</w:t>
      </w:r>
      <w:r w:rsidR="0012229F">
        <w:t xml:space="preserve"> video footage related to this case before turning it over to the Utah County Attorney’s Office</w:t>
      </w:r>
      <w:r w:rsidR="008917DF">
        <w:t xml:space="preserve"> for disclosure to the defense</w:t>
      </w:r>
      <w:r w:rsidR="0012229F">
        <w:t>.</w:t>
      </w:r>
      <w:r w:rsidR="00A749BB">
        <w:t xml:space="preserve">  Because Rule 16(a)(1) specifies the “prosecution team” as being subject to discovery obligations under the Rules of Criminal Procedure, rather than singling out only the “prosecutor,” the</w:t>
      </w:r>
      <w:r w:rsidR="000D72ED">
        <w:t xml:space="preserve"> </w:t>
      </w:r>
      <w:r w:rsidR="00A749BB">
        <w:t>Utah County Sheriff’s Office</w:t>
      </w:r>
      <w:r w:rsidR="000D72ED">
        <w:t xml:space="preserve"> </w:t>
      </w:r>
      <w:r w:rsidR="00A749BB">
        <w:t>should think long and hard before withholding Rule 16(a)(1) materials—by redacting and/or editing bodycam footage</w:t>
      </w:r>
      <w:r w:rsidR="008917DF">
        <w:t>—</w:t>
      </w:r>
      <w:r w:rsidR="00176121">
        <w:t xml:space="preserve">especially since Rule 16(a)(2) specifically requires Rule 16(a)(1) materials like bodycam footage to be disclosed to the defense “before the preliminary hearing,” which in this case is scheduled </w:t>
      </w:r>
      <w:r w:rsidR="00E2047B">
        <w:t>two days from now</w:t>
      </w:r>
      <w:r w:rsidR="00176121">
        <w:t xml:space="preserve">.  </w:t>
      </w:r>
      <w:r w:rsidR="00176121" w:rsidRPr="00C249BE">
        <w:rPr>
          <w:i/>
          <w:iCs/>
        </w:rPr>
        <w:t xml:space="preserve">See </w:t>
      </w:r>
      <w:r w:rsidR="00176121">
        <w:t xml:space="preserve">Utah R. Crim. P. 16(a)(2) (“In every case, all material or information listed in paragraph (a)(1) that is presently and reasonably available to the prosecutor must be disclosed </w:t>
      </w:r>
      <w:r w:rsidR="00176121" w:rsidRPr="00176121">
        <w:rPr>
          <w:i/>
          <w:iCs/>
        </w:rPr>
        <w:t>before the preliminary hearing</w:t>
      </w:r>
      <w:r w:rsidR="00176121">
        <w:t>.”) (</w:t>
      </w:r>
      <w:proofErr w:type="gramStart"/>
      <w:r w:rsidR="00176121">
        <w:t>emphasis</w:t>
      </w:r>
      <w:proofErr w:type="gramEnd"/>
      <w:r w:rsidR="00176121">
        <w:t xml:space="preserve"> added).  Thus, </w:t>
      </w:r>
      <w:r w:rsidR="00C249BE">
        <w:t xml:space="preserve">in this case, </w:t>
      </w:r>
      <w:r w:rsidR="00176121">
        <w:t xml:space="preserve">according to Rule </w:t>
      </w:r>
      <w:r w:rsidR="00C249BE">
        <w:t>16(a)(2)</w:t>
      </w:r>
      <w:r w:rsidR="008917DF">
        <w:t>,</w:t>
      </w:r>
      <w:r w:rsidR="00C249BE">
        <w:t xml:space="preserve"> the Utah County Sheriff’s Office is dangerously close to not complying </w:t>
      </w:r>
      <w:r w:rsidR="00C249BE">
        <w:lastRenderedPageBreak/>
        <w:t xml:space="preserve">with Rule 16.  And given that the video footage will likely take the defense time to review, the footage needs to be provided very soon. </w:t>
      </w:r>
      <w:r w:rsidR="00176121">
        <w:t xml:space="preserve"> </w:t>
      </w:r>
      <w:r w:rsidR="00A749BB">
        <w:t xml:space="preserve">  </w:t>
      </w:r>
    </w:p>
    <w:p w14:paraId="72B7B70F" w14:textId="1E25B757" w:rsidR="00AB7D44" w:rsidRDefault="000D72ED" w:rsidP="003B0A00">
      <w:pPr>
        <w:spacing w:after="0" w:line="480" w:lineRule="auto"/>
        <w:ind w:left="0" w:right="0" w:firstLine="720"/>
        <w:jc w:val="both"/>
      </w:pPr>
      <w:r>
        <w:t>With respect to the policy document</w:t>
      </w:r>
      <w:r w:rsidR="00A749BB">
        <w:t>s</w:t>
      </w:r>
      <w:r>
        <w:t xml:space="preserve"> sought, defense counsel’s experience with the Utah County Sheriff’s </w:t>
      </w:r>
      <w:r w:rsidR="00094805">
        <w:t xml:space="preserve">Office </w:t>
      </w:r>
      <w:r>
        <w:t xml:space="preserve">is that it refuses to provide almost anything </w:t>
      </w:r>
      <w:r w:rsidR="00BB684C">
        <w:t xml:space="preserve">pertaining to its policies, and that when such documents are produced, they are almost always heavily redacted.  </w:t>
      </w:r>
      <w:r w:rsidR="0012229F">
        <w:t xml:space="preserve">  </w:t>
      </w:r>
      <w:r w:rsidR="00AB7D44">
        <w:t xml:space="preserve">  </w:t>
      </w:r>
    </w:p>
    <w:p w14:paraId="40616BC3" w14:textId="38A8C661" w:rsidR="00BC6AD5" w:rsidRDefault="00967DFE" w:rsidP="003B0A00">
      <w:pPr>
        <w:spacing w:after="0" w:line="480" w:lineRule="auto"/>
        <w:ind w:left="0" w:right="0" w:firstLine="720"/>
        <w:jc w:val="both"/>
      </w:pPr>
      <w:r>
        <w:t xml:space="preserve">Because </w:t>
      </w:r>
      <w:r w:rsidR="0012229F">
        <w:t xml:space="preserve">records at issue </w:t>
      </w:r>
      <w:r w:rsidR="00F44F21">
        <w:t xml:space="preserve">in this Motion </w:t>
      </w:r>
      <w:r w:rsidR="0070660F">
        <w:t xml:space="preserve">are Utah County Sheriff’s </w:t>
      </w:r>
      <w:r w:rsidR="00065833">
        <w:t>Office</w:t>
      </w:r>
      <w:r w:rsidR="0070660F">
        <w:t xml:space="preserve"> records likely classified as private, protected, or controlled </w:t>
      </w:r>
      <w:r w:rsidR="0012229F">
        <w:t xml:space="preserve">under </w:t>
      </w:r>
      <w:r>
        <w:t>GRAMA</w:t>
      </w:r>
      <w:r w:rsidR="0012229F">
        <w:t>, GRAMA</w:t>
      </w:r>
      <w:r>
        <w:t xml:space="preserve"> requires that a court order be obtained before access to</w:t>
      </w:r>
      <w:r w:rsidR="0070660F">
        <w:t xml:space="preserve"> what is sought in this Motion will be granted</w:t>
      </w:r>
      <w:r>
        <w:t xml:space="preserve">.  </w:t>
      </w:r>
      <w:r w:rsidR="00BB684C" w:rsidRPr="00F44F21">
        <w:rPr>
          <w:i/>
          <w:iCs/>
        </w:rPr>
        <w:t>See</w:t>
      </w:r>
      <w:r w:rsidR="00BB684C">
        <w:t xml:space="preserve"> Utah Code § 63G-2-207(2)(a)(ii) (“Until the court or an administrative law judge orders disclosure” records classified under GRAMA are “privileged from discovery.”).  </w:t>
      </w:r>
      <w:r w:rsidR="0070660F">
        <w:t xml:space="preserve">While </w:t>
      </w:r>
      <w:r w:rsidR="00BB684C">
        <w:t xml:space="preserve">exact </w:t>
      </w:r>
      <w:r w:rsidR="0070660F">
        <w:t>the classification</w:t>
      </w:r>
      <w:r w:rsidR="00BB684C">
        <w:t xml:space="preserve">—out of the three levels of classification set forth in GRAMA—of the records at issue in this Motion are </w:t>
      </w:r>
      <w:r w:rsidR="0070660F">
        <w:t>unknown, given the difficulty with obtaining them</w:t>
      </w:r>
      <w:r w:rsidR="00F44F21">
        <w:t xml:space="preserve"> from the Utah County Sheriff’s </w:t>
      </w:r>
      <w:r w:rsidR="00094805">
        <w:t>Office</w:t>
      </w:r>
      <w:r w:rsidR="0070660F">
        <w:t xml:space="preserve">, </w:t>
      </w:r>
      <w:r>
        <w:t>M</w:t>
      </w:r>
      <w:r w:rsidR="0070660F">
        <w:t>s</w:t>
      </w:r>
      <w:r>
        <w:t>.</w:t>
      </w:r>
      <w:r w:rsidR="0070660F">
        <w:t xml:space="preserve"> </w:t>
      </w:r>
      <w:r w:rsidR="00E2047B">
        <w:t>Doe</w:t>
      </w:r>
      <w:r>
        <w:t xml:space="preserve"> assumes that </w:t>
      </w:r>
      <w:r w:rsidR="0070660F">
        <w:t>they are</w:t>
      </w:r>
      <w:r>
        <w:t xml:space="preserve"> classified in some manner that would requir</w:t>
      </w:r>
      <w:r w:rsidR="00A80109">
        <w:t>e</w:t>
      </w:r>
      <w:r>
        <w:t xml:space="preserve"> a court order before the Utah County Sheriff</w:t>
      </w:r>
      <w:r w:rsidR="0070660F">
        <w:t xml:space="preserve">’s </w:t>
      </w:r>
      <w:r w:rsidR="00094805">
        <w:t>Office</w:t>
      </w:r>
      <w:r>
        <w:t xml:space="preserve"> c</w:t>
      </w:r>
      <w:r w:rsidR="00FF2437">
        <w:t>ould</w:t>
      </w:r>
      <w:r>
        <w:t xml:space="preserve"> be required to produce </w:t>
      </w:r>
      <w:r w:rsidR="0070660F">
        <w:t>them</w:t>
      </w:r>
      <w:r>
        <w:t>.</w:t>
      </w:r>
      <w:r w:rsidR="00D56796">
        <w:t xml:space="preserve"> </w:t>
      </w:r>
    </w:p>
    <w:p w14:paraId="58009D69" w14:textId="3C519625" w:rsidR="003B0A00" w:rsidRDefault="003B0A00" w:rsidP="003B0A00">
      <w:pPr>
        <w:spacing w:after="0" w:line="480" w:lineRule="auto"/>
        <w:ind w:left="0" w:right="0" w:firstLine="720"/>
        <w:jc w:val="both"/>
      </w:pPr>
      <w:r>
        <w:t>§ 63G-2-20</w:t>
      </w:r>
      <w:r w:rsidR="00BB684C">
        <w:t>2</w:t>
      </w:r>
      <w:r>
        <w:t xml:space="preserve">(7) states that “[a] governmental entity </w:t>
      </w:r>
      <w:r w:rsidRPr="00CE75A3">
        <w:t>shall</w:t>
      </w:r>
      <w:r>
        <w:t xml:space="preserve"> disclose a record pursuant to a court order signed by a judge from a court of competent jurisdiction,</w:t>
      </w:r>
      <w:r w:rsidR="00F221B3">
        <w:t>” so long as</w:t>
      </w:r>
      <w:r>
        <w:t xml:space="preserve">: </w:t>
      </w:r>
    </w:p>
    <w:p w14:paraId="2AA3B610" w14:textId="77777777" w:rsidR="003B0A00" w:rsidRDefault="003B0A00" w:rsidP="003B0A00">
      <w:pPr>
        <w:pStyle w:val="ListParagraph"/>
        <w:numPr>
          <w:ilvl w:val="0"/>
          <w:numId w:val="9"/>
        </w:numPr>
        <w:spacing w:after="0" w:line="276" w:lineRule="auto"/>
        <w:jc w:val="both"/>
      </w:pPr>
      <w:r w:rsidRPr="00535C22">
        <w:t>the record deals with a matter in controversy over which the court has</w:t>
      </w:r>
    </w:p>
    <w:p w14:paraId="658C5362" w14:textId="77777777" w:rsidR="003B0A00" w:rsidRDefault="003B0A00" w:rsidP="00C249BE">
      <w:pPr>
        <w:pStyle w:val="ListParagraph"/>
        <w:spacing w:line="276" w:lineRule="auto"/>
        <w:ind w:left="1080" w:firstLine="0"/>
        <w:jc w:val="both"/>
      </w:pPr>
      <w:r w:rsidRPr="00535C22">
        <w:t xml:space="preserve"> </w:t>
      </w:r>
      <w:proofErr w:type="gramStart"/>
      <w:r w:rsidRPr="00535C22">
        <w:t>jurisdiction</w:t>
      </w:r>
      <w:r>
        <w:t>;</w:t>
      </w:r>
      <w:proofErr w:type="gramEnd"/>
      <w:r>
        <w:t xml:space="preserve"> </w:t>
      </w:r>
    </w:p>
    <w:p w14:paraId="5367D30E" w14:textId="77777777" w:rsidR="003B0A00" w:rsidRDefault="003B0A00" w:rsidP="00C249BE">
      <w:pPr>
        <w:spacing w:line="276" w:lineRule="auto"/>
        <w:ind w:left="0" w:firstLine="720"/>
        <w:jc w:val="both"/>
      </w:pPr>
      <w:r>
        <w:t xml:space="preserve">(b) </w:t>
      </w:r>
      <w:r w:rsidRPr="00535C22">
        <w:t xml:space="preserve">the court has considered the merits of the request for access to the </w:t>
      </w:r>
      <w:proofErr w:type="gramStart"/>
      <w:r w:rsidRPr="00535C22">
        <w:t>record;</w:t>
      </w:r>
      <w:proofErr w:type="gramEnd"/>
      <w:r>
        <w:t xml:space="preserve"> </w:t>
      </w:r>
    </w:p>
    <w:p w14:paraId="5118B4F9" w14:textId="77777777" w:rsidR="003B0A00" w:rsidRDefault="003B0A00" w:rsidP="003B0A00">
      <w:pPr>
        <w:spacing w:after="0" w:line="276" w:lineRule="auto"/>
        <w:ind w:left="1080" w:hanging="360"/>
        <w:jc w:val="both"/>
      </w:pPr>
      <w:r>
        <w:t xml:space="preserve">(c) the court has considered and, where appropriate, limited the requester’s use and further disclosure of the record </w:t>
      </w:r>
      <w:proofErr w:type="gramStart"/>
      <w:r>
        <w:t>in order to</w:t>
      </w:r>
      <w:proofErr w:type="gramEnd"/>
      <w:r>
        <w:t xml:space="preserve"> protect: </w:t>
      </w:r>
    </w:p>
    <w:p w14:paraId="3BE39C15" w14:textId="77777777" w:rsidR="003B0A00" w:rsidRDefault="003B0A00" w:rsidP="003B0A00">
      <w:pPr>
        <w:spacing w:after="0" w:line="276" w:lineRule="auto"/>
        <w:ind w:firstLine="720"/>
        <w:jc w:val="both"/>
      </w:pPr>
      <w:r>
        <w:t>(</w:t>
      </w:r>
      <w:proofErr w:type="spellStart"/>
      <w:r>
        <w:t>i</w:t>
      </w:r>
      <w:proofErr w:type="spellEnd"/>
      <w:r>
        <w:t xml:space="preserve">) privacy interests in the case of private or controlled </w:t>
      </w:r>
      <w:proofErr w:type="gramStart"/>
      <w:r>
        <w:t>records;</w:t>
      </w:r>
      <w:proofErr w:type="gramEnd"/>
    </w:p>
    <w:p w14:paraId="25E7B37D" w14:textId="77777777" w:rsidR="003B0A00" w:rsidRDefault="003B0A00" w:rsidP="003B0A00">
      <w:pPr>
        <w:spacing w:after="0" w:line="276" w:lineRule="auto"/>
        <w:ind w:firstLine="720"/>
        <w:jc w:val="both"/>
      </w:pPr>
      <w:r>
        <w:t xml:space="preserve">(ii) business confidentiality interests in the case . . .; and </w:t>
      </w:r>
    </w:p>
    <w:p w14:paraId="44DD7E6E" w14:textId="77777777" w:rsidR="003B0A00" w:rsidRDefault="003B0A00" w:rsidP="003B0A00">
      <w:pPr>
        <w:spacing w:after="0" w:line="276" w:lineRule="auto"/>
        <w:ind w:firstLine="720"/>
        <w:jc w:val="both"/>
      </w:pPr>
      <w:r>
        <w:t>(iii) privacy interests or the public interest in the case of other protected</w:t>
      </w:r>
    </w:p>
    <w:p w14:paraId="00480866" w14:textId="77777777" w:rsidR="003B0A00" w:rsidRDefault="003B0A00" w:rsidP="00C249BE">
      <w:pPr>
        <w:spacing w:line="276" w:lineRule="auto"/>
        <w:ind w:firstLine="720"/>
        <w:jc w:val="both"/>
      </w:pPr>
      <w:r>
        <w:t xml:space="preserve">       </w:t>
      </w:r>
      <w:proofErr w:type="gramStart"/>
      <w:r>
        <w:t>records;</w:t>
      </w:r>
      <w:proofErr w:type="gramEnd"/>
    </w:p>
    <w:p w14:paraId="6676DAA3" w14:textId="77777777" w:rsidR="003B0A00" w:rsidRDefault="003B0A00" w:rsidP="00065833">
      <w:pPr>
        <w:spacing w:line="276" w:lineRule="auto"/>
        <w:ind w:left="1080" w:hanging="360"/>
        <w:jc w:val="both"/>
      </w:pPr>
      <w:r>
        <w:lastRenderedPageBreak/>
        <w:t xml:space="preserve">(d) to the extent the record is properly classified private, controlled, or protected, </w:t>
      </w:r>
      <w:r w:rsidRPr="001A408F">
        <w:rPr>
          <w:i/>
        </w:rPr>
        <w:t>the interests favoring access, considering limitations thereon, are greater than or equal to the interests favoring restriction of access</w:t>
      </w:r>
      <w:r>
        <w:t xml:space="preserve">; and </w:t>
      </w:r>
    </w:p>
    <w:p w14:paraId="78AE9826" w14:textId="77777777" w:rsidR="003B0A00" w:rsidRDefault="003B0A00" w:rsidP="003B0A00">
      <w:pPr>
        <w:spacing w:after="0" w:line="276" w:lineRule="auto"/>
        <w:ind w:left="1080" w:hanging="360"/>
        <w:jc w:val="both"/>
      </w:pPr>
      <w:r>
        <w:t xml:space="preserve">(e) where access is restricted by a rule, statute, or regulation referred to in § 63G-2-201(3)(b), the court has authority independent of this chapter to order disclosure.  </w:t>
      </w:r>
    </w:p>
    <w:p w14:paraId="5D0FD879" w14:textId="77777777" w:rsidR="003B0A00" w:rsidRDefault="003B0A00" w:rsidP="003B0A00">
      <w:pPr>
        <w:spacing w:after="0" w:line="276" w:lineRule="auto"/>
        <w:ind w:left="1080" w:hanging="360"/>
        <w:jc w:val="both"/>
      </w:pPr>
    </w:p>
    <w:p w14:paraId="43F07EBC" w14:textId="359D66D9" w:rsidR="003B0A00" w:rsidRDefault="003B0A00" w:rsidP="003B0A00">
      <w:pPr>
        <w:spacing w:after="0" w:line="480" w:lineRule="auto"/>
        <w:ind w:left="0" w:firstLine="0"/>
        <w:jc w:val="both"/>
      </w:pPr>
      <w:r>
        <w:t>§ 63G-2-202(7) (</w:t>
      </w:r>
      <w:r w:rsidRPr="002C1C26">
        <w:rPr>
          <w:iCs/>
        </w:rPr>
        <w:t xml:space="preserve">emphasis </w:t>
      </w:r>
      <w:r>
        <w:t xml:space="preserve">added).  </w:t>
      </w:r>
    </w:p>
    <w:p w14:paraId="4FC59E44" w14:textId="7A3CE5F7" w:rsidR="00967DFE" w:rsidRPr="00817EEB" w:rsidRDefault="00967DFE" w:rsidP="00967DFE">
      <w:pPr>
        <w:pStyle w:val="ListParagraph"/>
        <w:numPr>
          <w:ilvl w:val="0"/>
          <w:numId w:val="10"/>
        </w:numPr>
        <w:spacing w:after="0" w:line="480" w:lineRule="auto"/>
        <w:jc w:val="both"/>
        <w:rPr>
          <w:b/>
          <w:bCs/>
          <w:u w:val="single"/>
        </w:rPr>
      </w:pPr>
      <w:r>
        <w:rPr>
          <w:b/>
          <w:bCs/>
          <w:u w:val="single"/>
        </w:rPr>
        <w:t>M</w:t>
      </w:r>
      <w:r w:rsidRPr="00817EEB">
        <w:rPr>
          <w:b/>
          <w:bCs/>
          <w:u w:val="single"/>
        </w:rPr>
        <w:t>atter in Controversy</w:t>
      </w:r>
    </w:p>
    <w:p w14:paraId="6B556779" w14:textId="5471E8EE" w:rsidR="00967DFE" w:rsidRDefault="00967DFE" w:rsidP="00967DFE">
      <w:pPr>
        <w:pStyle w:val="ListParagraph"/>
        <w:spacing w:after="0" w:line="480" w:lineRule="auto"/>
        <w:ind w:left="0" w:right="0" w:firstLine="720"/>
        <w:jc w:val="both"/>
      </w:pPr>
      <w:r>
        <w:t>Here</w:t>
      </w:r>
      <w:r w:rsidRPr="00817EEB">
        <w:t>, there is a matter in controversy before the Court</w:t>
      </w:r>
      <w:r w:rsidR="00EE2E5B">
        <w:t>:</w:t>
      </w:r>
      <w:r w:rsidRPr="00817EEB">
        <w:t xml:space="preserve"> M</w:t>
      </w:r>
      <w:r w:rsidR="00EE2E5B">
        <w:t>s</w:t>
      </w:r>
      <w:r>
        <w:t xml:space="preserve">. </w:t>
      </w:r>
      <w:r w:rsidR="00E2047B">
        <w:t>Doe</w:t>
      </w:r>
      <w:r>
        <w:t xml:space="preserve"> has been accused of engaging in criminal behavior, and felony charge</w:t>
      </w:r>
      <w:r w:rsidR="00EE2E5B">
        <w:t>s are</w:t>
      </w:r>
      <w:r>
        <w:t xml:space="preserve"> now pending against h</w:t>
      </w:r>
      <w:r w:rsidR="00EE2E5B">
        <w:t>er</w:t>
      </w:r>
      <w:r>
        <w:t xml:space="preserve"> in this case.  </w:t>
      </w:r>
      <w:r>
        <w:tab/>
      </w:r>
    </w:p>
    <w:p w14:paraId="466F85D1" w14:textId="39D7CB3F"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t>Merits of the Request</w:t>
      </w:r>
      <w:r>
        <w:rPr>
          <w:b/>
          <w:bCs/>
          <w:u w:val="single"/>
        </w:rPr>
        <w:t xml:space="preserve"> for Access to the Records</w:t>
      </w:r>
    </w:p>
    <w:p w14:paraId="3F6D7C51" w14:textId="7B787D78" w:rsidR="00967DFE" w:rsidRDefault="00967DFE" w:rsidP="00967DFE">
      <w:pPr>
        <w:pStyle w:val="ListParagraph"/>
        <w:spacing w:after="0" w:line="480" w:lineRule="auto"/>
        <w:ind w:left="0" w:right="0" w:firstLine="720"/>
        <w:jc w:val="both"/>
        <w:rPr>
          <w:szCs w:val="24"/>
        </w:rPr>
      </w:pPr>
      <w:r w:rsidRPr="00817EEB">
        <w:rPr>
          <w:szCs w:val="24"/>
        </w:rPr>
        <w:t>M</w:t>
      </w:r>
      <w:r w:rsidR="00EE2E5B">
        <w:rPr>
          <w:szCs w:val="24"/>
        </w:rPr>
        <w:t>s</w:t>
      </w:r>
      <w:r w:rsidRPr="00817EEB">
        <w:rPr>
          <w:szCs w:val="24"/>
        </w:rPr>
        <w:t xml:space="preserve">. </w:t>
      </w:r>
      <w:r w:rsidR="00E2047B">
        <w:rPr>
          <w:szCs w:val="24"/>
        </w:rPr>
        <w:t>Doe</w:t>
      </w:r>
      <w:r>
        <w:rPr>
          <w:szCs w:val="24"/>
        </w:rPr>
        <w:t xml:space="preserve">’s </w:t>
      </w:r>
      <w:r w:rsidRPr="00817EEB">
        <w:rPr>
          <w:szCs w:val="24"/>
        </w:rPr>
        <w:t>attorney is obligated to investigate</w:t>
      </w:r>
      <w:r>
        <w:rPr>
          <w:szCs w:val="24"/>
        </w:rPr>
        <w:t xml:space="preserve"> </w:t>
      </w:r>
      <w:r w:rsidR="00EE2E5B">
        <w:rPr>
          <w:szCs w:val="24"/>
        </w:rPr>
        <w:t xml:space="preserve">her case </w:t>
      </w:r>
      <w:r>
        <w:rPr>
          <w:szCs w:val="24"/>
        </w:rPr>
        <w:t>and is entitled to completely understand</w:t>
      </w:r>
      <w:r w:rsidR="00EE2E5B">
        <w:rPr>
          <w:szCs w:val="24"/>
        </w:rPr>
        <w:t xml:space="preserve"> what occurred during the law enforcement response to the incident at her home on September 2, 2022</w:t>
      </w:r>
      <w:r w:rsidRPr="00817EEB">
        <w:rPr>
          <w:szCs w:val="24"/>
        </w:rPr>
        <w:t>.</w:t>
      </w:r>
      <w:r w:rsidR="00EE2E5B">
        <w:rPr>
          <w:szCs w:val="24"/>
        </w:rPr>
        <w:t xml:space="preserve">  That response is documented on the video footage at issue in this Motion, but the defense </w:t>
      </w:r>
      <w:r w:rsidR="00B15174">
        <w:rPr>
          <w:szCs w:val="24"/>
        </w:rPr>
        <w:t>does not appear to have been</w:t>
      </w:r>
      <w:r w:rsidR="00EE2E5B">
        <w:rPr>
          <w:szCs w:val="24"/>
        </w:rPr>
        <w:t xml:space="preserve"> provided with </w:t>
      </w:r>
      <w:r w:rsidR="00F44F21">
        <w:rPr>
          <w:szCs w:val="24"/>
        </w:rPr>
        <w:t xml:space="preserve">full access to </w:t>
      </w:r>
      <w:r w:rsidR="00EE2E5B">
        <w:rPr>
          <w:szCs w:val="24"/>
        </w:rPr>
        <w:t xml:space="preserve">that footage.  Additionally, the </w:t>
      </w:r>
      <w:r w:rsidR="00B15174">
        <w:rPr>
          <w:szCs w:val="24"/>
        </w:rPr>
        <w:t>un</w:t>
      </w:r>
      <w:r w:rsidR="00EE2E5B">
        <w:rPr>
          <w:szCs w:val="24"/>
        </w:rPr>
        <w:t>redacted/</w:t>
      </w:r>
      <w:r w:rsidR="00B15174">
        <w:rPr>
          <w:szCs w:val="24"/>
        </w:rPr>
        <w:t>un</w:t>
      </w:r>
      <w:r w:rsidR="00EE2E5B">
        <w:rPr>
          <w:szCs w:val="24"/>
        </w:rPr>
        <w:t xml:space="preserve">edited video footage may contain impeachment material, or other information material to Ms. </w:t>
      </w:r>
      <w:r w:rsidR="00E2047B">
        <w:rPr>
          <w:szCs w:val="24"/>
        </w:rPr>
        <w:t>Doe</w:t>
      </w:r>
      <w:r w:rsidR="00EE2E5B">
        <w:rPr>
          <w:szCs w:val="24"/>
        </w:rPr>
        <w:t>’s guilt or innocence</w:t>
      </w:r>
      <w:r w:rsidR="00F44F21">
        <w:rPr>
          <w:szCs w:val="24"/>
        </w:rPr>
        <w:t>,</w:t>
      </w:r>
      <w:r w:rsidR="00F51CCC">
        <w:rPr>
          <w:szCs w:val="24"/>
        </w:rPr>
        <w:t xml:space="preserve"> that will likely remain unknown unless the footage is provided</w:t>
      </w:r>
      <w:r w:rsidR="00B15174">
        <w:rPr>
          <w:szCs w:val="24"/>
        </w:rPr>
        <w:t xml:space="preserve"> by </w:t>
      </w:r>
      <w:r w:rsidR="00B15174">
        <w:t>the Utah County Sheriff’s Office</w:t>
      </w:r>
      <w:r w:rsidR="00EE2E5B">
        <w:rPr>
          <w:szCs w:val="24"/>
        </w:rPr>
        <w:t>.</w:t>
      </w:r>
      <w:r w:rsidR="00F51CCC">
        <w:rPr>
          <w:szCs w:val="24"/>
        </w:rPr>
        <w:t xml:space="preserve">  </w:t>
      </w:r>
      <w:r w:rsidR="00EE2E5B">
        <w:rPr>
          <w:szCs w:val="24"/>
        </w:rPr>
        <w:t xml:space="preserve">  </w:t>
      </w:r>
      <w:r w:rsidRPr="00817EEB">
        <w:rPr>
          <w:szCs w:val="24"/>
        </w:rPr>
        <w:t xml:space="preserve">  </w:t>
      </w:r>
    </w:p>
    <w:p w14:paraId="6E1B6B46" w14:textId="5EBB8746" w:rsidR="00967DFE" w:rsidRDefault="00EE2E5B" w:rsidP="00E95A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pPr>
      <w:r>
        <w:rPr>
          <w:szCs w:val="24"/>
        </w:rPr>
        <w:t xml:space="preserve">Additionally, having access to the policy documents </w:t>
      </w:r>
      <w:r w:rsidR="00B15174">
        <w:rPr>
          <w:szCs w:val="24"/>
        </w:rPr>
        <w:t>sought in this Motion i</w:t>
      </w:r>
      <w:r>
        <w:rPr>
          <w:szCs w:val="24"/>
        </w:rPr>
        <w:t xml:space="preserve">s necessary for defense counsel to properly represent Ms. </w:t>
      </w:r>
      <w:r w:rsidR="00E2047B">
        <w:rPr>
          <w:szCs w:val="24"/>
        </w:rPr>
        <w:t>Doe</w:t>
      </w:r>
      <w:r>
        <w:rPr>
          <w:szCs w:val="24"/>
        </w:rPr>
        <w:t xml:space="preserve"> in this case</w:t>
      </w:r>
      <w:r w:rsidR="00F44F21">
        <w:rPr>
          <w:szCs w:val="24"/>
        </w:rPr>
        <w:t xml:space="preserve">.  If </w:t>
      </w:r>
      <w:r w:rsidR="00F44F21">
        <w:t xml:space="preserve">the Utah County Sheriff’s </w:t>
      </w:r>
      <w:r w:rsidR="00B15174">
        <w:t>Office</w:t>
      </w:r>
      <w:r w:rsidR="00F44F21">
        <w:t xml:space="preserve"> </w:t>
      </w:r>
      <w:r w:rsidR="00E95A5E">
        <w:t>is in violation of its own policy when it comes to the redaction/editing of the video footage, that</w:t>
      </w:r>
      <w:r w:rsidR="0018392D">
        <w:t xml:space="preserve"> could </w:t>
      </w:r>
      <w:r w:rsidR="00E95A5E">
        <w:t xml:space="preserve">be considered impeachment material, and having </w:t>
      </w:r>
      <w:r w:rsidR="00967DFE">
        <w:t xml:space="preserve">access to the table of contents so that a determination </w:t>
      </w:r>
      <w:r w:rsidR="00E95A5E">
        <w:t xml:space="preserve">can be made </w:t>
      </w:r>
      <w:r w:rsidR="0018392D">
        <w:t xml:space="preserve">by the defense </w:t>
      </w:r>
      <w:r w:rsidR="00B15174">
        <w:t>as to</w:t>
      </w:r>
      <w:r w:rsidR="00E95A5E">
        <w:t xml:space="preserve"> whether there are additional</w:t>
      </w:r>
      <w:r w:rsidR="00967DFE">
        <w:t xml:space="preserve"> specific policies</w:t>
      </w:r>
      <w:r w:rsidR="00E95A5E">
        <w:t xml:space="preserve">—if any—that Ms. </w:t>
      </w:r>
      <w:r w:rsidR="00E2047B">
        <w:t>Doe</w:t>
      </w:r>
      <w:r w:rsidR="00E95A5E">
        <w:t>’s defense team should</w:t>
      </w:r>
      <w:r w:rsidR="00967DFE">
        <w:t xml:space="preserve"> pursue</w:t>
      </w:r>
      <w:r w:rsidR="0018392D">
        <w:t xml:space="preserve">, is something that Ms. </w:t>
      </w:r>
      <w:r w:rsidR="00E2047B">
        <w:t>Doe</w:t>
      </w:r>
      <w:r w:rsidR="0018392D">
        <w:t xml:space="preserve"> is entitled to</w:t>
      </w:r>
      <w:r w:rsidR="00967DFE">
        <w:t xml:space="preserve">.  </w:t>
      </w:r>
    </w:p>
    <w:p w14:paraId="177EEBF0" w14:textId="77777777" w:rsidR="00065833" w:rsidRPr="00E95A5E" w:rsidRDefault="00065833" w:rsidP="00E95A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p>
    <w:p w14:paraId="0E8BEA37" w14:textId="77777777"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lastRenderedPageBreak/>
        <w:t>Limitation on Further Disclosure</w:t>
      </w:r>
    </w:p>
    <w:p w14:paraId="28A4FA80" w14:textId="092152A8" w:rsidR="00967DFE" w:rsidRDefault="00967DFE" w:rsidP="00967DFE">
      <w:pPr>
        <w:pStyle w:val="ListParagraph"/>
        <w:spacing w:after="0" w:line="480" w:lineRule="auto"/>
        <w:ind w:left="0" w:right="0" w:firstLine="720"/>
        <w:jc w:val="both"/>
      </w:pPr>
      <w:r>
        <w:t>The Court can also order any limitations that it deems appropriate regarding any further dissemination of the record</w:t>
      </w:r>
      <w:r w:rsidR="00FF2437">
        <w:t>s</w:t>
      </w:r>
      <w:r>
        <w:t xml:space="preserve">, consistent with Section 63G-2-202(7)(c), </w:t>
      </w:r>
      <w:proofErr w:type="gramStart"/>
      <w:r>
        <w:t>in order to</w:t>
      </w:r>
      <w:proofErr w:type="gramEnd"/>
      <w:r>
        <w:t xml:space="preserve"> prevent any use of </w:t>
      </w:r>
      <w:r w:rsidR="0018392D">
        <w:t xml:space="preserve">the </w:t>
      </w:r>
      <w:r>
        <w:t>record</w:t>
      </w:r>
      <w:r w:rsidR="00FF2437">
        <w:t>s</w:t>
      </w:r>
      <w:r>
        <w:t xml:space="preserve"> </w:t>
      </w:r>
      <w:r w:rsidR="0018392D">
        <w:t xml:space="preserve">sought </w:t>
      </w:r>
      <w:r>
        <w:t>beyond the use that</w:t>
      </w:r>
      <w:r w:rsidR="0018392D">
        <w:t xml:space="preserve"> is described </w:t>
      </w:r>
      <w:r>
        <w:t xml:space="preserve">in this Motion, which is to exercise </w:t>
      </w:r>
      <w:r w:rsidR="0018392D">
        <w:t>the</w:t>
      </w:r>
      <w:r>
        <w:t xml:space="preserve"> right to have a constitutionally adequate defense.  </w:t>
      </w:r>
    </w:p>
    <w:p w14:paraId="5C2AD505" w14:textId="77777777" w:rsidR="00967DFE" w:rsidRPr="00817EEB" w:rsidRDefault="00967DFE" w:rsidP="00967DFE">
      <w:pPr>
        <w:pStyle w:val="ListParagraph"/>
        <w:numPr>
          <w:ilvl w:val="0"/>
          <w:numId w:val="10"/>
        </w:numPr>
        <w:spacing w:after="0" w:line="480" w:lineRule="auto"/>
        <w:jc w:val="both"/>
        <w:rPr>
          <w:b/>
          <w:bCs/>
          <w:u w:val="single"/>
        </w:rPr>
      </w:pPr>
      <w:r w:rsidRPr="00817EEB">
        <w:rPr>
          <w:b/>
          <w:bCs/>
          <w:u w:val="single"/>
        </w:rPr>
        <w:t>Interests Favoring Access vs. Interests Favoring Restriction of Access</w:t>
      </w:r>
    </w:p>
    <w:p w14:paraId="723AF675" w14:textId="087B90A6" w:rsidR="00967DFE" w:rsidRDefault="00967DFE" w:rsidP="00967DFE">
      <w:pPr>
        <w:pStyle w:val="ListParagraph"/>
        <w:spacing w:after="0" w:line="480" w:lineRule="auto"/>
        <w:ind w:left="0" w:right="0" w:firstLine="720"/>
        <w:jc w:val="both"/>
      </w:pPr>
      <w:r>
        <w:rPr>
          <w:szCs w:val="24"/>
        </w:rPr>
        <w:t>And M</w:t>
      </w:r>
      <w:r w:rsidR="00E95A5E">
        <w:rPr>
          <w:szCs w:val="24"/>
        </w:rPr>
        <w:t>s</w:t>
      </w:r>
      <w:r>
        <w:rPr>
          <w:szCs w:val="24"/>
        </w:rPr>
        <w:t xml:space="preserve">. </w:t>
      </w:r>
      <w:r w:rsidR="00E2047B">
        <w:rPr>
          <w:szCs w:val="24"/>
        </w:rPr>
        <w:t>Doe</w:t>
      </w:r>
      <w:r>
        <w:rPr>
          <w:szCs w:val="24"/>
        </w:rPr>
        <w:t>’s interest in having this case fairly adjudicated is more than equal to,</w:t>
      </w:r>
      <w:r>
        <w:t xml:space="preserve"> and in fact substantially outweighs, any interests favoring restriction of access</w:t>
      </w:r>
      <w:r w:rsidR="00E95A5E">
        <w:t xml:space="preserve"> to the records at issue in this Motion</w:t>
      </w:r>
      <w:r>
        <w:t>.  Simply put, M</w:t>
      </w:r>
      <w:r w:rsidR="00E95A5E">
        <w:t>s</w:t>
      </w:r>
      <w:r>
        <w:t xml:space="preserve">. </w:t>
      </w:r>
      <w:r w:rsidR="00E2047B">
        <w:t>Doe</w:t>
      </w:r>
      <w:r w:rsidR="00E95A5E">
        <w:t>’</w:t>
      </w:r>
      <w:r>
        <w:t>s attorney must be granted full access to the</w:t>
      </w:r>
      <w:r w:rsidRPr="008256BC">
        <w:t xml:space="preserve"> </w:t>
      </w:r>
      <w:r>
        <w:t>record</w:t>
      </w:r>
      <w:r w:rsidR="006D5660">
        <w:t>s</w:t>
      </w:r>
      <w:r>
        <w:t xml:space="preserve"> sought</w:t>
      </w:r>
      <w:r>
        <w:rPr>
          <w:szCs w:val="24"/>
        </w:rPr>
        <w:t xml:space="preserve"> in </w:t>
      </w:r>
      <w:r w:rsidR="006D5660">
        <w:rPr>
          <w:szCs w:val="24"/>
        </w:rPr>
        <w:t>this Motion</w:t>
      </w:r>
      <w:r>
        <w:rPr>
          <w:szCs w:val="24"/>
        </w:rPr>
        <w:t xml:space="preserve">, </w:t>
      </w:r>
      <w:r>
        <w:t>so that h</w:t>
      </w:r>
      <w:r w:rsidR="00E95A5E">
        <w:t>er</w:t>
      </w:r>
      <w:r>
        <w:t xml:space="preserve"> right to a fair trial is protected, which far outweighs </w:t>
      </w:r>
      <w:r w:rsidR="0018392D">
        <w:t xml:space="preserve">the </w:t>
      </w:r>
      <w:r>
        <w:t xml:space="preserve">Utah County Sheriff’s </w:t>
      </w:r>
      <w:r w:rsidR="0018392D">
        <w:t>Office</w:t>
      </w:r>
      <w:r>
        <w:t xml:space="preserve">’s interest in being permitted to continue restricting access to what is sought.  </w:t>
      </w:r>
    </w:p>
    <w:p w14:paraId="5B0DD7F2" w14:textId="123EC6D3" w:rsidR="00967DFE" w:rsidRDefault="00967DFE" w:rsidP="00967DFE">
      <w:pPr>
        <w:pStyle w:val="ListParagraph"/>
        <w:spacing w:after="0" w:line="480" w:lineRule="auto"/>
        <w:ind w:left="0" w:right="0" w:firstLine="720"/>
        <w:jc w:val="both"/>
        <w:rPr>
          <w:szCs w:val="24"/>
        </w:rPr>
      </w:pPr>
      <w:r>
        <w:t>M</w:t>
      </w:r>
      <w:r w:rsidR="00E95A5E">
        <w:t>s</w:t>
      </w:r>
      <w:r>
        <w:t xml:space="preserve">. </w:t>
      </w:r>
      <w:r w:rsidR="00E2047B">
        <w:t>Doe</w:t>
      </w:r>
      <w:r>
        <w:t xml:space="preserve"> has a clear Sixth Amendment right to have a full and fair defense in this case.  This includes the right to have an adequate investigation performed by h</w:t>
      </w:r>
      <w:r w:rsidR="00E95A5E">
        <w:t>er</w:t>
      </w:r>
      <w:r>
        <w:t xml:space="preserve"> defense team</w:t>
      </w:r>
      <w:r w:rsidR="00E95A5E">
        <w:t xml:space="preserve"> and to have her defense team seek out and acquire impeachment material</w:t>
      </w:r>
      <w:r>
        <w:t>.</w:t>
      </w:r>
      <w:r>
        <w:rPr>
          <w:szCs w:val="24"/>
        </w:rPr>
        <w:t xml:space="preserve">  </w:t>
      </w:r>
      <w:r w:rsidRPr="00817EEB">
        <w:rPr>
          <w:i/>
          <w:iCs/>
        </w:rPr>
        <w:t>See, e.g.</w:t>
      </w:r>
      <w:r>
        <w:t xml:space="preserve">, </w:t>
      </w:r>
      <w:r w:rsidRPr="00817EEB">
        <w:rPr>
          <w:i/>
          <w:iCs/>
        </w:rPr>
        <w:t>State v. Templin</w:t>
      </w:r>
      <w:r>
        <w:t xml:space="preserve">, 805 P.2d 182, 188 (Utah 1990) (“If counsel does not adequately investigate the </w:t>
      </w:r>
      <w:r w:rsidRPr="00817EEB">
        <w:rPr>
          <w:i/>
          <w:iCs/>
        </w:rPr>
        <w:t xml:space="preserve">underlying facts </w:t>
      </w:r>
      <w:r w:rsidRPr="007E4225">
        <w:t>of a case</w:t>
      </w:r>
      <w:r>
        <w:t xml:space="preserve"> . . . counsel’s performance cannot fall within the ‘wide range of reasonable professional assistance.’”) (</w:t>
      </w:r>
      <w:proofErr w:type="gramStart"/>
      <w:r>
        <w:t>emphasis</w:t>
      </w:r>
      <w:proofErr w:type="gramEnd"/>
      <w:r>
        <w:t xml:space="preserve"> added).  </w:t>
      </w:r>
      <w:r w:rsidR="0089445D">
        <w:t>Without acquiring t</w:t>
      </w:r>
      <w:r>
        <w:t>he unredacted</w:t>
      </w:r>
      <w:r w:rsidR="00E95A5E">
        <w:t xml:space="preserve"> and unedited video footage at issue in this Motion</w:t>
      </w:r>
      <w:r w:rsidR="0089445D">
        <w:t xml:space="preserve">, defense counsel will be rendering ineffective assistance of counsel.  Likewise, without an adequate understanding of the policy/policies governing the creation and keeping of video footage, defense counsel will be neglecting his professional responsibility to Ms. </w:t>
      </w:r>
      <w:r w:rsidR="00E2047B">
        <w:t>Doe</w:t>
      </w:r>
      <w:r w:rsidR="0089445D">
        <w:t>.</w:t>
      </w:r>
      <w:r w:rsidR="00E95A5E">
        <w:t xml:space="preserve"> </w:t>
      </w:r>
      <w:r>
        <w:t xml:space="preserve"> </w:t>
      </w:r>
    </w:p>
    <w:p w14:paraId="3D22390E" w14:textId="455846CF" w:rsidR="00967DFE" w:rsidRDefault="00967DFE" w:rsidP="00967DFE">
      <w:pPr>
        <w:pStyle w:val="ListParagraph"/>
        <w:spacing w:after="0" w:line="480" w:lineRule="auto"/>
        <w:ind w:left="0" w:right="0" w:firstLine="720"/>
        <w:jc w:val="both"/>
      </w:pPr>
      <w:r>
        <w:t xml:space="preserve">While the Utah County Sheriff’s </w:t>
      </w:r>
      <w:r w:rsidR="0018392D">
        <w:t>Office may</w:t>
      </w:r>
      <w:r>
        <w:t xml:space="preserve"> have an interest in restricting access to</w:t>
      </w:r>
      <w:r w:rsidR="0089445D">
        <w:t xml:space="preserve"> some of what is sought in this Motion, </w:t>
      </w:r>
      <w:r>
        <w:t>M</w:t>
      </w:r>
      <w:r w:rsidR="0089445D">
        <w:t>s</w:t>
      </w:r>
      <w:r>
        <w:t xml:space="preserve">. </w:t>
      </w:r>
      <w:r w:rsidR="00E2047B">
        <w:t>Doe</w:t>
      </w:r>
      <w:r>
        <w:t xml:space="preserve"> has a far greater interest in ensuring that the allegations against h</w:t>
      </w:r>
      <w:r w:rsidR="0089445D">
        <w:t>er</w:t>
      </w:r>
      <w:r>
        <w:t xml:space="preserve"> in this case are fully and fairly adjudicated.  When </w:t>
      </w:r>
      <w:r w:rsidR="006D5660">
        <w:t xml:space="preserve">the </w:t>
      </w:r>
      <w:r>
        <w:t xml:space="preserve">Utah County Sheriff’s </w:t>
      </w:r>
      <w:r w:rsidR="0018392D">
        <w:t xml:space="preserve">Office’s </w:t>
      </w:r>
      <w:r>
        <w:lastRenderedPageBreak/>
        <w:t>interests are compared against M</w:t>
      </w:r>
      <w:r w:rsidR="0089445D">
        <w:t>s</w:t>
      </w:r>
      <w:r>
        <w:t xml:space="preserve">. </w:t>
      </w:r>
      <w:r w:rsidR="00E2047B">
        <w:t>Doe</w:t>
      </w:r>
      <w:r>
        <w:t>’s</w:t>
      </w:r>
      <w:r w:rsidRPr="00022F2D">
        <w:t xml:space="preserve"> current</w:t>
      </w:r>
      <w:r>
        <w:t xml:space="preserve"> state and federal constitutional rights, the Court should allow access to </w:t>
      </w:r>
      <w:r w:rsidR="0089445D">
        <w:t xml:space="preserve">what is sought in this Motion and in the form that it is sought in this Motion. </w:t>
      </w:r>
    </w:p>
    <w:p w14:paraId="417C88FA" w14:textId="44C9563E" w:rsidR="004E2F11" w:rsidRPr="007E1B7E" w:rsidRDefault="007E1B7E" w:rsidP="004E2F11">
      <w:pPr>
        <w:spacing w:after="0" w:line="480" w:lineRule="auto"/>
        <w:ind w:left="0" w:right="0" w:hanging="180"/>
        <w:jc w:val="center"/>
        <w:rPr>
          <w:b/>
          <w:bCs/>
          <w:szCs w:val="24"/>
          <w:u w:val="single"/>
        </w:rPr>
      </w:pPr>
      <w:r w:rsidRPr="007E1B7E">
        <w:rPr>
          <w:b/>
          <w:bCs/>
          <w:szCs w:val="24"/>
          <w:u w:val="single"/>
        </w:rPr>
        <w:t>CONCLUSION</w:t>
      </w:r>
    </w:p>
    <w:p w14:paraId="7E51B2DD" w14:textId="4A1D0C01" w:rsidR="007E1B7E" w:rsidRPr="00D56796" w:rsidRDefault="007E1B7E" w:rsidP="007E1B7E">
      <w:pPr>
        <w:pStyle w:val="ListParagraph"/>
        <w:spacing w:after="0" w:line="480" w:lineRule="auto"/>
        <w:ind w:left="0" w:right="0" w:firstLine="0"/>
        <w:jc w:val="both"/>
        <w:rPr>
          <w:b/>
          <w:bCs/>
          <w:color w:val="FF0000"/>
        </w:rPr>
      </w:pPr>
      <w:r>
        <w:rPr>
          <w:szCs w:val="24"/>
        </w:rPr>
        <w:tab/>
      </w:r>
      <w:r w:rsidR="00C043B4">
        <w:rPr>
          <w:szCs w:val="24"/>
        </w:rPr>
        <w:t xml:space="preserve">There is simply no reason that the </w:t>
      </w:r>
      <w:r w:rsidR="00880FC5">
        <w:rPr>
          <w:szCs w:val="24"/>
        </w:rPr>
        <w:t>records sought in</w:t>
      </w:r>
      <w:r w:rsidR="00C043B4">
        <w:rPr>
          <w:szCs w:val="24"/>
        </w:rPr>
        <w:t xml:space="preserve"> paragraphs </w:t>
      </w:r>
      <w:r w:rsidR="00880FC5">
        <w:rPr>
          <w:szCs w:val="24"/>
        </w:rPr>
        <w:t>1</w:t>
      </w:r>
      <w:r w:rsidR="0089445D">
        <w:rPr>
          <w:szCs w:val="24"/>
        </w:rPr>
        <w:t xml:space="preserve">, </w:t>
      </w:r>
      <w:r w:rsidR="00880FC5">
        <w:rPr>
          <w:szCs w:val="24"/>
        </w:rPr>
        <w:t>2</w:t>
      </w:r>
      <w:r w:rsidR="0089445D">
        <w:rPr>
          <w:szCs w:val="24"/>
        </w:rPr>
        <w:t>, and 3 o</w:t>
      </w:r>
      <w:r w:rsidR="006D5660">
        <w:rPr>
          <w:szCs w:val="24"/>
        </w:rPr>
        <w:t>n page 1 of this Motion should not be provided</w:t>
      </w:r>
      <w:r w:rsidR="00426611" w:rsidRPr="00A80109">
        <w:rPr>
          <w:szCs w:val="24"/>
        </w:rPr>
        <w:t xml:space="preserve">.  But </w:t>
      </w:r>
      <w:r w:rsidR="00880FC5" w:rsidRPr="00A80109">
        <w:rPr>
          <w:szCs w:val="24"/>
        </w:rPr>
        <w:t xml:space="preserve">as explained above, </w:t>
      </w:r>
      <w:r w:rsidR="00426611" w:rsidRPr="00A80109">
        <w:rPr>
          <w:szCs w:val="24"/>
        </w:rPr>
        <w:t xml:space="preserve">there are many </w:t>
      </w:r>
      <w:r w:rsidR="008C436E" w:rsidRPr="00A80109">
        <w:rPr>
          <w:szCs w:val="24"/>
        </w:rPr>
        <w:t>reasons</w:t>
      </w:r>
      <w:r w:rsidR="00426611" w:rsidRPr="00A80109">
        <w:rPr>
          <w:szCs w:val="24"/>
        </w:rPr>
        <w:t xml:space="preserve"> that </w:t>
      </w:r>
      <w:r w:rsidR="0089445D">
        <w:rPr>
          <w:szCs w:val="24"/>
        </w:rPr>
        <w:t>those records s</w:t>
      </w:r>
      <w:r w:rsidR="00880FC5" w:rsidRPr="00A80109">
        <w:rPr>
          <w:szCs w:val="24"/>
        </w:rPr>
        <w:t xml:space="preserve">hould </w:t>
      </w:r>
      <w:r w:rsidR="00426611" w:rsidRPr="00A80109">
        <w:rPr>
          <w:szCs w:val="24"/>
        </w:rPr>
        <w:t>be provided</w:t>
      </w:r>
      <w:r w:rsidR="00880FC5" w:rsidRPr="00A80109">
        <w:rPr>
          <w:szCs w:val="24"/>
        </w:rPr>
        <w:t xml:space="preserve">.  </w:t>
      </w:r>
      <w:r w:rsidR="0018392D">
        <w:rPr>
          <w:szCs w:val="24"/>
        </w:rPr>
        <w:t>Without an order from this Court, t</w:t>
      </w:r>
      <w:r w:rsidRPr="00A80109">
        <w:t xml:space="preserve">he records will </w:t>
      </w:r>
      <w:r w:rsidR="0018392D">
        <w:t xml:space="preserve">likely </w:t>
      </w:r>
      <w:r w:rsidRPr="00A80109">
        <w:t>not be provided to M</w:t>
      </w:r>
      <w:r w:rsidR="0089445D">
        <w:t>s</w:t>
      </w:r>
      <w:r w:rsidRPr="00A80109">
        <w:t xml:space="preserve">. </w:t>
      </w:r>
      <w:r w:rsidR="00E2047B">
        <w:t>Doe</w:t>
      </w:r>
      <w:r w:rsidRPr="00A80109">
        <w:t xml:space="preserve"> in the form that the defense is requesting, and M</w:t>
      </w:r>
      <w:r w:rsidR="0089445D">
        <w:t>s</w:t>
      </w:r>
      <w:r w:rsidRPr="00A80109">
        <w:t xml:space="preserve">. </w:t>
      </w:r>
      <w:r w:rsidR="00E2047B">
        <w:t>Doe</w:t>
      </w:r>
      <w:r w:rsidRPr="00A80109">
        <w:t xml:space="preserve"> therefore requests that the Court issue an order, pursuant to its authority to do so under GRAMA, that the Utah County Sheriff</w:t>
      </w:r>
      <w:r w:rsidR="0089445D">
        <w:t xml:space="preserve">’s </w:t>
      </w:r>
      <w:r w:rsidR="0018392D">
        <w:t>Office</w:t>
      </w:r>
      <w:r w:rsidR="0089445D">
        <w:t xml:space="preserve"> </w:t>
      </w:r>
      <w:r w:rsidRPr="00A80109">
        <w:t xml:space="preserve">produce the records.    </w:t>
      </w:r>
    </w:p>
    <w:p w14:paraId="2A14A677" w14:textId="47961363" w:rsidR="0052273D" w:rsidRPr="007E1B7E" w:rsidRDefault="00880FC5" w:rsidP="007E1B7E">
      <w:pPr>
        <w:spacing w:after="0" w:line="480" w:lineRule="auto"/>
        <w:ind w:left="0" w:right="0" w:firstLine="720"/>
        <w:jc w:val="both"/>
        <w:rPr>
          <w:szCs w:val="24"/>
        </w:rPr>
      </w:pPr>
      <w:r>
        <w:rPr>
          <w:szCs w:val="24"/>
        </w:rPr>
        <w:t xml:space="preserve">  </w:t>
      </w:r>
      <w:bookmarkEnd w:id="0"/>
      <w:r w:rsidR="0052273D">
        <w:t xml:space="preserve">DATED </w:t>
      </w:r>
      <w:r w:rsidR="00170569">
        <w:t xml:space="preserve">this </w:t>
      </w:r>
      <w:r w:rsidR="0089445D">
        <w:t>2</w:t>
      </w:r>
      <w:r w:rsidR="0018392D">
        <w:t>6</w:t>
      </w:r>
      <w:r>
        <w:t>th</w:t>
      </w:r>
      <w:r w:rsidR="001233B5">
        <w:t xml:space="preserve"> </w:t>
      </w:r>
      <w:r w:rsidR="0052273D" w:rsidRPr="00AE28A6">
        <w:t xml:space="preserve">day </w:t>
      </w:r>
      <w:r w:rsidR="0052273D" w:rsidRPr="00061D38">
        <w:t xml:space="preserve">of </w:t>
      </w:r>
      <w:r w:rsidR="0089445D">
        <w:t>September</w:t>
      </w:r>
      <w:r w:rsidR="0052273D" w:rsidRPr="00061D38">
        <w:t>, 20</w:t>
      </w:r>
      <w:r w:rsidR="00A21DC3">
        <w:t>2</w:t>
      </w:r>
      <w:r w:rsidR="008634E2">
        <w:t>2</w:t>
      </w:r>
      <w:r w:rsidR="0052273D" w:rsidRPr="00061D38">
        <w:t>.</w:t>
      </w:r>
    </w:p>
    <w:p w14:paraId="24022396" w14:textId="77777777" w:rsidR="00C1442E" w:rsidRPr="006913BF" w:rsidRDefault="0052273D" w:rsidP="00C1442E">
      <w:pPr>
        <w:tabs>
          <w:tab w:val="left" w:pos="5760"/>
        </w:tabs>
        <w:spacing w:after="0"/>
        <w:ind w:left="5760" w:right="0" w:hanging="5040"/>
        <w:jc w:val="both"/>
        <w:rPr>
          <w:i/>
        </w:rPr>
      </w:pPr>
      <w:r w:rsidRPr="00AE28A6">
        <w:tab/>
      </w:r>
      <w:r w:rsidR="006913BF" w:rsidRPr="006913BF">
        <w:rPr>
          <w:i/>
          <w:u w:val="single"/>
        </w:rPr>
        <w:t>/s/ Benjamin R. Aldana</w:t>
      </w:r>
    </w:p>
    <w:p w14:paraId="011BFB00" w14:textId="77777777" w:rsidR="00C1442E" w:rsidRPr="00AE28A6" w:rsidRDefault="00C1442E" w:rsidP="00C1442E">
      <w:pPr>
        <w:tabs>
          <w:tab w:val="left" w:pos="5760"/>
        </w:tabs>
        <w:spacing w:after="0"/>
        <w:ind w:left="0" w:right="0" w:firstLine="0"/>
        <w:jc w:val="both"/>
      </w:pPr>
      <w:r w:rsidRPr="00AE28A6">
        <w:tab/>
      </w:r>
      <w:r w:rsidR="006913BF">
        <w:t>Benjamin R. Aldana</w:t>
      </w:r>
    </w:p>
    <w:p w14:paraId="4A190E77" w14:textId="643936CF" w:rsidR="00D9536E" w:rsidRDefault="00C1442E" w:rsidP="00C63243">
      <w:pPr>
        <w:tabs>
          <w:tab w:val="left" w:pos="5760"/>
        </w:tabs>
        <w:spacing w:after="0"/>
        <w:ind w:left="0" w:right="0" w:firstLine="0"/>
        <w:jc w:val="both"/>
        <w:rPr>
          <w:b/>
        </w:rPr>
      </w:pPr>
      <w:r w:rsidRPr="00AE28A6">
        <w:tab/>
      </w:r>
      <w:r w:rsidRPr="00CA71AE">
        <w:t xml:space="preserve">Attorney for </w:t>
      </w:r>
      <w:r w:rsidR="002F0F33">
        <w:t>M</w:t>
      </w:r>
      <w:r w:rsidR="0089445D">
        <w:t>s</w:t>
      </w:r>
      <w:r w:rsidR="002F0F33">
        <w:t xml:space="preserve">. </w:t>
      </w:r>
      <w:bookmarkStart w:id="3" w:name="_Hlk521359385"/>
      <w:r w:rsidR="00E2047B">
        <w:t>Doe</w:t>
      </w:r>
    </w:p>
    <w:p w14:paraId="17E22DA0" w14:textId="77777777" w:rsidR="00D9536E" w:rsidRDefault="00D9536E" w:rsidP="00376052">
      <w:pPr>
        <w:jc w:val="center"/>
        <w:rPr>
          <w:b/>
        </w:rPr>
        <w:sectPr w:rsidR="00D9536E" w:rsidSect="00E51128">
          <w:footerReference w:type="default" r:id="rId8"/>
          <w:footerReference w:type="first" r:id="rId9"/>
          <w:pgSz w:w="12240" w:h="15840" w:code="1"/>
          <w:pgMar w:top="1440" w:right="1440" w:bottom="1440" w:left="1440" w:header="720" w:footer="720" w:gutter="0"/>
          <w:cols w:space="720"/>
          <w:docGrid w:linePitch="360"/>
        </w:sectPr>
      </w:pPr>
    </w:p>
    <w:bookmarkEnd w:id="3"/>
    <w:p w14:paraId="3AAA97CD" w14:textId="3CEBE3CE" w:rsidR="001233B5" w:rsidRPr="00E50C63" w:rsidRDefault="0089236F" w:rsidP="0089236F">
      <w:pPr>
        <w:ind w:right="0"/>
        <w:jc w:val="center"/>
        <w:rPr>
          <w:u w:val="single"/>
        </w:rPr>
      </w:pPr>
      <w:r>
        <w:rPr>
          <w:u w:val="single"/>
        </w:rPr>
        <w:lastRenderedPageBreak/>
        <w:t>C</w:t>
      </w:r>
      <w:r w:rsidR="001233B5" w:rsidRPr="00E50C63">
        <w:rPr>
          <w:u w:val="single"/>
        </w:rPr>
        <w:t>ERTIFICATE OF SERVICE</w:t>
      </w:r>
    </w:p>
    <w:p w14:paraId="3D8E6359" w14:textId="30E98823" w:rsidR="001233B5" w:rsidRPr="00E50C63" w:rsidRDefault="001233B5" w:rsidP="0089236F">
      <w:pPr>
        <w:pStyle w:val="Default"/>
        <w:spacing w:line="480" w:lineRule="auto"/>
        <w:ind w:firstLine="720"/>
        <w:jc w:val="both"/>
      </w:pPr>
      <w:r w:rsidRPr="00E50C63">
        <w:t xml:space="preserve">Via the court’s electronic filing system a copy of the foregoing was sent to the </w:t>
      </w:r>
      <w:r>
        <w:t>Utah County Attorney’s</w:t>
      </w:r>
      <w:r w:rsidR="001D3EDB">
        <w:t xml:space="preserve"> Office, this </w:t>
      </w:r>
      <w:r w:rsidR="0089445D">
        <w:t>2</w:t>
      </w:r>
      <w:r w:rsidR="0018392D">
        <w:t>6</w:t>
      </w:r>
      <w:r w:rsidR="00880FC5">
        <w:t>th</w:t>
      </w:r>
      <w:r w:rsidRPr="00E50C63">
        <w:t xml:space="preserve"> day of </w:t>
      </w:r>
      <w:r w:rsidR="0018392D">
        <w:t>September</w:t>
      </w:r>
      <w:r w:rsidRPr="00E50C63">
        <w:t xml:space="preserve">, </w:t>
      </w:r>
      <w:r w:rsidRPr="00E50C63">
        <w:rPr>
          <w:noProof/>
        </w:rPr>
        <w:t>20</w:t>
      </w:r>
      <w:r w:rsidR="00A21DC3">
        <w:rPr>
          <w:noProof/>
        </w:rPr>
        <w:t>2</w:t>
      </w:r>
      <w:r w:rsidR="00282EDD">
        <w:rPr>
          <w:noProof/>
        </w:rPr>
        <w:t>2</w:t>
      </w:r>
      <w:r w:rsidRPr="00E50C63">
        <w:t>.</w:t>
      </w:r>
    </w:p>
    <w:p w14:paraId="42342759" w14:textId="77777777" w:rsidR="0049173E" w:rsidRPr="00542F53" w:rsidRDefault="0049173E" w:rsidP="0049173E">
      <w:pPr>
        <w:pStyle w:val="Default"/>
        <w:spacing w:line="480" w:lineRule="auto"/>
        <w:ind w:firstLine="720"/>
        <w:jc w:val="both"/>
        <w:rPr>
          <w:color w:val="auto"/>
        </w:rPr>
      </w:pPr>
      <w:r w:rsidRPr="00542F53">
        <w:rPr>
          <w:color w:val="auto"/>
        </w:rPr>
        <w:t>Additionally, the following individual</w:t>
      </w:r>
      <w:r>
        <w:rPr>
          <w:color w:val="auto"/>
        </w:rPr>
        <w:t xml:space="preserve"> was</w:t>
      </w:r>
      <w:r w:rsidRPr="00542F53">
        <w:rPr>
          <w:color w:val="auto"/>
        </w:rPr>
        <w:t xml:space="preserve"> served by email: </w:t>
      </w:r>
    </w:p>
    <w:p w14:paraId="6B7D1844" w14:textId="2EA12C44" w:rsidR="0049173E" w:rsidRDefault="0049173E" w:rsidP="0049173E">
      <w:pPr>
        <w:pStyle w:val="Default"/>
        <w:spacing w:line="276" w:lineRule="auto"/>
        <w:ind w:firstLine="720"/>
        <w:jc w:val="both"/>
        <w:rPr>
          <w:color w:val="auto"/>
        </w:rPr>
      </w:pPr>
      <w:r w:rsidRPr="00542F53">
        <w:rPr>
          <w:color w:val="auto"/>
        </w:rPr>
        <w:t>Utah County Attorney</w:t>
      </w:r>
      <w:r>
        <w:rPr>
          <w:color w:val="auto"/>
        </w:rPr>
        <w:t>’s Office</w:t>
      </w:r>
      <w:r w:rsidR="00B03374">
        <w:rPr>
          <w:color w:val="auto"/>
        </w:rPr>
        <w:t>, Civil Division</w:t>
      </w:r>
    </w:p>
    <w:p w14:paraId="1A8618F0" w14:textId="77777777" w:rsidR="001233B5" w:rsidRPr="00E50C63" w:rsidRDefault="001233B5" w:rsidP="001233B5">
      <w:pPr>
        <w:pStyle w:val="Default"/>
        <w:spacing w:line="480" w:lineRule="auto"/>
        <w:ind w:firstLine="720"/>
      </w:pPr>
    </w:p>
    <w:tbl>
      <w:tblPr>
        <w:tblStyle w:val="TableGrid"/>
        <w:tblW w:w="0" w:type="auto"/>
        <w:tblLook w:val="04A0" w:firstRow="1" w:lastRow="0" w:firstColumn="1" w:lastColumn="0" w:noHBand="0" w:noVBand="1"/>
      </w:tblPr>
      <w:tblGrid>
        <w:gridCol w:w="3094"/>
        <w:gridCol w:w="1551"/>
        <w:gridCol w:w="4715"/>
      </w:tblGrid>
      <w:tr w:rsidR="001233B5" w:rsidRPr="00E50C63" w14:paraId="71BD25A8" w14:textId="77777777" w:rsidTr="00041406">
        <w:tc>
          <w:tcPr>
            <w:tcW w:w="3192" w:type="dxa"/>
            <w:tcBorders>
              <w:top w:val="nil"/>
              <w:left w:val="nil"/>
              <w:bottom w:val="nil"/>
              <w:right w:val="nil"/>
            </w:tcBorders>
          </w:tcPr>
          <w:p w14:paraId="25776D3B" w14:textId="77777777" w:rsidR="001233B5" w:rsidRPr="00E50C63" w:rsidRDefault="001233B5" w:rsidP="001233B5">
            <w:pPr>
              <w:spacing w:after="0"/>
            </w:pPr>
          </w:p>
        </w:tc>
        <w:tc>
          <w:tcPr>
            <w:tcW w:w="1596" w:type="dxa"/>
            <w:tcBorders>
              <w:top w:val="nil"/>
              <w:left w:val="nil"/>
              <w:bottom w:val="nil"/>
              <w:right w:val="nil"/>
            </w:tcBorders>
          </w:tcPr>
          <w:p w14:paraId="71A63331" w14:textId="77777777" w:rsidR="001233B5" w:rsidRPr="00E50C63" w:rsidRDefault="001233B5" w:rsidP="001233B5">
            <w:pPr>
              <w:spacing w:after="0"/>
            </w:pPr>
          </w:p>
        </w:tc>
        <w:tc>
          <w:tcPr>
            <w:tcW w:w="4788" w:type="dxa"/>
            <w:tcBorders>
              <w:top w:val="nil"/>
              <w:left w:val="nil"/>
              <w:right w:val="nil"/>
            </w:tcBorders>
          </w:tcPr>
          <w:p w14:paraId="1006D8F0" w14:textId="77777777" w:rsidR="001233B5" w:rsidRPr="00E50C63" w:rsidRDefault="001233B5" w:rsidP="001233B5">
            <w:pPr>
              <w:spacing w:after="0"/>
              <w:rPr>
                <w:i/>
              </w:rPr>
            </w:pPr>
            <w:r w:rsidRPr="00E50C63">
              <w:rPr>
                <w:i/>
              </w:rPr>
              <w:t xml:space="preserve">/s/ </w:t>
            </w:r>
            <w:r w:rsidR="001D3EDB">
              <w:rPr>
                <w:i/>
              </w:rPr>
              <w:t>Benjamin R. Aldana</w:t>
            </w:r>
          </w:p>
        </w:tc>
      </w:tr>
    </w:tbl>
    <w:p w14:paraId="005AA043" w14:textId="77777777" w:rsidR="001233B5" w:rsidRDefault="001233B5" w:rsidP="001233B5">
      <w:pPr>
        <w:spacing w:after="0"/>
      </w:pPr>
    </w:p>
    <w:sectPr w:rsidR="001233B5" w:rsidSect="00E51128">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6333" w14:textId="77777777" w:rsidR="00502973" w:rsidRDefault="00502973" w:rsidP="00BD02A9">
      <w:pPr>
        <w:spacing w:after="0"/>
      </w:pPr>
      <w:r>
        <w:separator/>
      </w:r>
    </w:p>
  </w:endnote>
  <w:endnote w:type="continuationSeparator" w:id="0">
    <w:p w14:paraId="4D7D8D25" w14:textId="77777777" w:rsidR="00502973" w:rsidRDefault="00502973"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00518"/>
      <w:docPartObj>
        <w:docPartGallery w:val="Page Numbers (Bottom of Page)"/>
        <w:docPartUnique/>
      </w:docPartObj>
    </w:sdtPr>
    <w:sdtEndPr>
      <w:rPr>
        <w:noProof/>
      </w:rPr>
    </w:sdtEndPr>
    <w:sdtContent>
      <w:p w14:paraId="7A444AA7" w14:textId="3B76381B" w:rsidR="00D9536E" w:rsidRDefault="00D9536E" w:rsidP="003B0A00">
        <w:pPr>
          <w:pStyle w:val="Footer"/>
          <w:spacing w:after="0"/>
          <w:ind w:right="0"/>
          <w:jc w:val="center"/>
        </w:pPr>
        <w:r>
          <w:fldChar w:fldCharType="begin"/>
        </w:r>
        <w:r>
          <w:instrText xml:space="preserve"> PAGE   \* MERGEFORMAT </w:instrText>
        </w:r>
        <w:r>
          <w:fldChar w:fldCharType="separate"/>
        </w:r>
        <w:r>
          <w:rPr>
            <w:noProof/>
          </w:rPr>
          <w:t>2</w:t>
        </w:r>
        <w:r>
          <w:rPr>
            <w:noProof/>
          </w:rPr>
          <w:fldChar w:fldCharType="end"/>
        </w:r>
      </w:p>
    </w:sdtContent>
  </w:sdt>
  <w:p w14:paraId="1A2332F3" w14:textId="77777777" w:rsidR="00C14D62" w:rsidRDefault="00C14D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04092"/>
      <w:docPartObj>
        <w:docPartGallery w:val="Page Numbers (Bottom of Page)"/>
        <w:docPartUnique/>
      </w:docPartObj>
    </w:sdtPr>
    <w:sdtContent>
      <w:p w14:paraId="15CA4990" w14:textId="77777777" w:rsidR="00C14D62" w:rsidRDefault="00453583">
        <w:pPr>
          <w:pStyle w:val="Footer"/>
          <w:jc w:val="center"/>
        </w:pPr>
        <w:r>
          <w:fldChar w:fldCharType="begin"/>
        </w:r>
        <w:r w:rsidR="00C14D62">
          <w:instrText xml:space="preserve"> PAGE   \* MERGEFORMAT </w:instrText>
        </w:r>
        <w:r>
          <w:fldChar w:fldCharType="separate"/>
        </w:r>
        <w:r w:rsidR="00C14D6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FF24" w14:textId="2E76A685" w:rsidR="00D9536E" w:rsidRDefault="00D9536E" w:rsidP="00D9536E">
    <w:pPr>
      <w:pStyle w:val="Footer"/>
      <w:spacing w:before="240" w:after="0"/>
      <w:ind w:right="0"/>
      <w:jc w:val="center"/>
    </w:pPr>
  </w:p>
  <w:p w14:paraId="6E46E55D" w14:textId="77777777" w:rsidR="00D9536E" w:rsidRDefault="00D953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F4CF" w14:textId="77777777" w:rsidR="00502973" w:rsidRDefault="00502973" w:rsidP="00BD02A9">
      <w:pPr>
        <w:spacing w:after="0"/>
      </w:pPr>
      <w:r>
        <w:separator/>
      </w:r>
    </w:p>
  </w:footnote>
  <w:footnote w:type="continuationSeparator" w:id="0">
    <w:p w14:paraId="47DAB8A8" w14:textId="77777777" w:rsidR="00502973" w:rsidRDefault="00502973" w:rsidP="00BD02A9">
      <w:pPr>
        <w:spacing w:after="0"/>
      </w:pPr>
      <w:r>
        <w:continuationSeparator/>
      </w:r>
    </w:p>
  </w:footnote>
  <w:footnote w:id="1">
    <w:p w14:paraId="2DF2E23F" w14:textId="6A840C4A" w:rsidR="00AB7D44" w:rsidRDefault="00AB7D44" w:rsidP="00AB7D44">
      <w:pPr>
        <w:pStyle w:val="FootnoteText"/>
        <w:spacing w:line="276" w:lineRule="auto"/>
        <w:ind w:left="0" w:right="0" w:firstLine="0"/>
        <w:jc w:val="both"/>
      </w:pPr>
      <w:r>
        <w:rPr>
          <w:rStyle w:val="FootnoteReference"/>
        </w:rPr>
        <w:footnoteRef/>
      </w:r>
      <w:r>
        <w:t xml:space="preserve"> </w:t>
      </w:r>
      <w:r w:rsidRPr="00AB7D44">
        <w:rPr>
          <w:i/>
          <w:iCs/>
        </w:rPr>
        <w:t>See</w:t>
      </w:r>
      <w:r>
        <w:t xml:space="preserve"> Utah Code § 77-7a-105(2) (“An agency shall make the agency’s policies regarding the use of body-worn cameras available to the </w:t>
      </w:r>
      <w:proofErr w:type="gramStart"/>
      <w:r>
        <w:t>public, and</w:t>
      </w:r>
      <w:proofErr w:type="gramEnd"/>
      <w:r>
        <w:t xml:space="preserve"> shall place the policies on the agency’s public website when possible.</w:t>
      </w:r>
      <w:r w:rsidR="0022079A">
        <w:t>”).</w:t>
      </w:r>
      <w:r w:rsidR="0012229F">
        <w:t xml:space="preserve">  Since the policy does not appear to be available on the Utah County Sheriff’s </w:t>
      </w:r>
      <w:r w:rsidR="0022079A">
        <w:t>Office</w:t>
      </w:r>
      <w:r w:rsidR="0012229F">
        <w:t xml:space="preserve">’s </w:t>
      </w:r>
      <w:r w:rsidR="0022079A">
        <w:t xml:space="preserve">public </w:t>
      </w:r>
      <w:r w:rsidR="0012229F">
        <w:t xml:space="preserve">website, defense counsel presumes that it has been classified by the Utah County Sheriff’s </w:t>
      </w:r>
      <w:r w:rsidR="0022079A">
        <w:t>Office</w:t>
      </w:r>
      <w:r w:rsidR="0012229F">
        <w:t xml:space="preserve"> as private, protected, or controlled under GRAMA.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0B4" w14:textId="77777777" w:rsidR="00D9536E" w:rsidRDefault="00D95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55A5"/>
    <w:multiLevelType w:val="hybridMultilevel"/>
    <w:tmpl w:val="1CE28B58"/>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60B28"/>
    <w:multiLevelType w:val="hybridMultilevel"/>
    <w:tmpl w:val="4DE4B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B711C"/>
    <w:multiLevelType w:val="hybridMultilevel"/>
    <w:tmpl w:val="31E8E2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CB1378"/>
    <w:multiLevelType w:val="hybridMultilevel"/>
    <w:tmpl w:val="1CE28B58"/>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901FC"/>
    <w:multiLevelType w:val="hybridMultilevel"/>
    <w:tmpl w:val="A96C21F2"/>
    <w:lvl w:ilvl="0" w:tplc="B5503934">
      <w:start w:val="1"/>
      <w:numFmt w:val="decimal"/>
      <w:lvlText w:val="%1."/>
      <w:lvlJc w:val="left"/>
      <w:pPr>
        <w:ind w:left="1200" w:hanging="360"/>
        <w:jc w:val="right"/>
      </w:pPr>
      <w:rPr>
        <w:rFonts w:ascii="Times New Roman" w:eastAsia="Times New Roman" w:hAnsi="Times New Roman" w:cs="Times New Roman" w:hint="default"/>
        <w:spacing w:val="-4"/>
        <w:w w:val="99"/>
        <w:sz w:val="24"/>
        <w:szCs w:val="24"/>
      </w:rPr>
    </w:lvl>
    <w:lvl w:ilvl="1" w:tplc="6A3C20C0">
      <w:numFmt w:val="bullet"/>
      <w:lvlText w:val="•"/>
      <w:lvlJc w:val="left"/>
      <w:pPr>
        <w:ind w:left="2040" w:hanging="360"/>
      </w:pPr>
      <w:rPr>
        <w:rFonts w:hint="default"/>
      </w:rPr>
    </w:lvl>
    <w:lvl w:ilvl="2" w:tplc="EAA8E3DE">
      <w:numFmt w:val="bullet"/>
      <w:lvlText w:val="•"/>
      <w:lvlJc w:val="left"/>
      <w:pPr>
        <w:ind w:left="2880" w:hanging="360"/>
      </w:pPr>
      <w:rPr>
        <w:rFonts w:hint="default"/>
      </w:rPr>
    </w:lvl>
    <w:lvl w:ilvl="3" w:tplc="6684505C">
      <w:numFmt w:val="bullet"/>
      <w:lvlText w:val="•"/>
      <w:lvlJc w:val="left"/>
      <w:pPr>
        <w:ind w:left="3720" w:hanging="360"/>
      </w:pPr>
      <w:rPr>
        <w:rFonts w:hint="default"/>
      </w:rPr>
    </w:lvl>
    <w:lvl w:ilvl="4" w:tplc="50C62CF2">
      <w:numFmt w:val="bullet"/>
      <w:lvlText w:val="•"/>
      <w:lvlJc w:val="left"/>
      <w:pPr>
        <w:ind w:left="4560" w:hanging="360"/>
      </w:pPr>
      <w:rPr>
        <w:rFonts w:hint="default"/>
      </w:rPr>
    </w:lvl>
    <w:lvl w:ilvl="5" w:tplc="94AC08E4">
      <w:numFmt w:val="bullet"/>
      <w:lvlText w:val="•"/>
      <w:lvlJc w:val="left"/>
      <w:pPr>
        <w:ind w:left="5400" w:hanging="360"/>
      </w:pPr>
      <w:rPr>
        <w:rFonts w:hint="default"/>
      </w:rPr>
    </w:lvl>
    <w:lvl w:ilvl="6" w:tplc="738E9690">
      <w:numFmt w:val="bullet"/>
      <w:lvlText w:val="•"/>
      <w:lvlJc w:val="left"/>
      <w:pPr>
        <w:ind w:left="6240" w:hanging="360"/>
      </w:pPr>
      <w:rPr>
        <w:rFonts w:hint="default"/>
      </w:rPr>
    </w:lvl>
    <w:lvl w:ilvl="7" w:tplc="8AD0CBA2">
      <w:numFmt w:val="bullet"/>
      <w:lvlText w:val="•"/>
      <w:lvlJc w:val="left"/>
      <w:pPr>
        <w:ind w:left="7080" w:hanging="360"/>
      </w:pPr>
      <w:rPr>
        <w:rFonts w:hint="default"/>
      </w:rPr>
    </w:lvl>
    <w:lvl w:ilvl="8" w:tplc="B95A2E9C">
      <w:numFmt w:val="bullet"/>
      <w:lvlText w:val="•"/>
      <w:lvlJc w:val="left"/>
      <w:pPr>
        <w:ind w:left="7920" w:hanging="360"/>
      </w:pPr>
      <w:rPr>
        <w:rFonts w:hint="default"/>
      </w:rPr>
    </w:lvl>
  </w:abstractNum>
  <w:abstractNum w:abstractNumId="10" w15:restartNumberingAfterBreak="0">
    <w:nsid w:val="7F8201F0"/>
    <w:multiLevelType w:val="hybridMultilevel"/>
    <w:tmpl w:val="1C5A2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3459543">
    <w:abstractNumId w:val="0"/>
  </w:num>
  <w:num w:numId="2" w16cid:durableId="830751799">
    <w:abstractNumId w:val="1"/>
  </w:num>
  <w:num w:numId="3" w16cid:durableId="71390554">
    <w:abstractNumId w:val="4"/>
  </w:num>
  <w:num w:numId="4" w16cid:durableId="1761488095">
    <w:abstractNumId w:val="8"/>
  </w:num>
  <w:num w:numId="5" w16cid:durableId="783963601">
    <w:abstractNumId w:val="10"/>
  </w:num>
  <w:num w:numId="6" w16cid:durableId="36711296">
    <w:abstractNumId w:val="3"/>
  </w:num>
  <w:num w:numId="7" w16cid:durableId="1172379488">
    <w:abstractNumId w:val="6"/>
  </w:num>
  <w:num w:numId="8" w16cid:durableId="572011269">
    <w:abstractNumId w:val="9"/>
  </w:num>
  <w:num w:numId="9" w16cid:durableId="2070762006">
    <w:abstractNumId w:val="2"/>
  </w:num>
  <w:num w:numId="10" w16cid:durableId="293414025">
    <w:abstractNumId w:val="7"/>
  </w:num>
  <w:num w:numId="11" w16cid:durableId="206450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MTc0MzQ0NjcyMTdQ0lEKTi0uzszPAykwNqsFAAMUBeEtAAAA"/>
  </w:docVars>
  <w:rsids>
    <w:rsidRoot w:val="00BD02A9"/>
    <w:rsid w:val="00025FC5"/>
    <w:rsid w:val="00026A33"/>
    <w:rsid w:val="00027C7E"/>
    <w:rsid w:val="000322CD"/>
    <w:rsid w:val="00034572"/>
    <w:rsid w:val="0003738F"/>
    <w:rsid w:val="000459AD"/>
    <w:rsid w:val="0005215E"/>
    <w:rsid w:val="0005301D"/>
    <w:rsid w:val="0006100C"/>
    <w:rsid w:val="00061290"/>
    <w:rsid w:val="0006291F"/>
    <w:rsid w:val="00065833"/>
    <w:rsid w:val="0006641A"/>
    <w:rsid w:val="00080E31"/>
    <w:rsid w:val="00082A73"/>
    <w:rsid w:val="00085B7C"/>
    <w:rsid w:val="00087D36"/>
    <w:rsid w:val="00094805"/>
    <w:rsid w:val="000956E7"/>
    <w:rsid w:val="00096743"/>
    <w:rsid w:val="000A6091"/>
    <w:rsid w:val="000A6ACD"/>
    <w:rsid w:val="000A732A"/>
    <w:rsid w:val="000A771D"/>
    <w:rsid w:val="000C09C6"/>
    <w:rsid w:val="000C4098"/>
    <w:rsid w:val="000C50BD"/>
    <w:rsid w:val="000D13CE"/>
    <w:rsid w:val="000D2857"/>
    <w:rsid w:val="000D2E2A"/>
    <w:rsid w:val="000D40E5"/>
    <w:rsid w:val="000D4D5F"/>
    <w:rsid w:val="000D5F0F"/>
    <w:rsid w:val="000D72ED"/>
    <w:rsid w:val="000E057F"/>
    <w:rsid w:val="000E4FA1"/>
    <w:rsid w:val="000E7F40"/>
    <w:rsid w:val="000F4345"/>
    <w:rsid w:val="000F5DA3"/>
    <w:rsid w:val="00102187"/>
    <w:rsid w:val="00105ECE"/>
    <w:rsid w:val="0011054A"/>
    <w:rsid w:val="00114366"/>
    <w:rsid w:val="001143DD"/>
    <w:rsid w:val="00115B59"/>
    <w:rsid w:val="0012229F"/>
    <w:rsid w:val="001232A0"/>
    <w:rsid w:val="001233B5"/>
    <w:rsid w:val="00124B1E"/>
    <w:rsid w:val="001307FB"/>
    <w:rsid w:val="001324C3"/>
    <w:rsid w:val="00132E2C"/>
    <w:rsid w:val="0013370F"/>
    <w:rsid w:val="001351E3"/>
    <w:rsid w:val="001368E6"/>
    <w:rsid w:val="00140316"/>
    <w:rsid w:val="00143C98"/>
    <w:rsid w:val="00145146"/>
    <w:rsid w:val="00147588"/>
    <w:rsid w:val="00151D07"/>
    <w:rsid w:val="001665AC"/>
    <w:rsid w:val="0017043E"/>
    <w:rsid w:val="00170569"/>
    <w:rsid w:val="00171F57"/>
    <w:rsid w:val="00172F61"/>
    <w:rsid w:val="00174C55"/>
    <w:rsid w:val="00176121"/>
    <w:rsid w:val="0018392D"/>
    <w:rsid w:val="00184E15"/>
    <w:rsid w:val="00187996"/>
    <w:rsid w:val="00194793"/>
    <w:rsid w:val="0019788C"/>
    <w:rsid w:val="001A0D8D"/>
    <w:rsid w:val="001A5B29"/>
    <w:rsid w:val="001A5B56"/>
    <w:rsid w:val="001B0979"/>
    <w:rsid w:val="001B2E08"/>
    <w:rsid w:val="001B5A10"/>
    <w:rsid w:val="001C6364"/>
    <w:rsid w:val="001C6C04"/>
    <w:rsid w:val="001D3EDB"/>
    <w:rsid w:val="001D53E6"/>
    <w:rsid w:val="001E17EB"/>
    <w:rsid w:val="001E288D"/>
    <w:rsid w:val="001E5AFA"/>
    <w:rsid w:val="001E60B9"/>
    <w:rsid w:val="001E75EC"/>
    <w:rsid w:val="001F2584"/>
    <w:rsid w:val="001F483A"/>
    <w:rsid w:val="00201257"/>
    <w:rsid w:val="00201C8F"/>
    <w:rsid w:val="0022079A"/>
    <w:rsid w:val="00220A6A"/>
    <w:rsid w:val="00226E15"/>
    <w:rsid w:val="002331BF"/>
    <w:rsid w:val="00235261"/>
    <w:rsid w:val="002418F4"/>
    <w:rsid w:val="002540F3"/>
    <w:rsid w:val="002560C5"/>
    <w:rsid w:val="002638F7"/>
    <w:rsid w:val="00266252"/>
    <w:rsid w:val="00267FE9"/>
    <w:rsid w:val="002700E7"/>
    <w:rsid w:val="00272454"/>
    <w:rsid w:val="002728B4"/>
    <w:rsid w:val="00273629"/>
    <w:rsid w:val="0028204A"/>
    <w:rsid w:val="002825B8"/>
    <w:rsid w:val="00282EDD"/>
    <w:rsid w:val="00284703"/>
    <w:rsid w:val="002910A8"/>
    <w:rsid w:val="002916B7"/>
    <w:rsid w:val="002A1FAE"/>
    <w:rsid w:val="002B1215"/>
    <w:rsid w:val="002B5BBA"/>
    <w:rsid w:val="002C6618"/>
    <w:rsid w:val="002D307C"/>
    <w:rsid w:val="002D324F"/>
    <w:rsid w:val="002D69F5"/>
    <w:rsid w:val="002E10CA"/>
    <w:rsid w:val="002E3DCB"/>
    <w:rsid w:val="002F0F33"/>
    <w:rsid w:val="002F293F"/>
    <w:rsid w:val="00303B71"/>
    <w:rsid w:val="00322397"/>
    <w:rsid w:val="003228A4"/>
    <w:rsid w:val="00335358"/>
    <w:rsid w:val="00342DF8"/>
    <w:rsid w:val="00343B66"/>
    <w:rsid w:val="00350E9E"/>
    <w:rsid w:val="00353ADB"/>
    <w:rsid w:val="00355F92"/>
    <w:rsid w:val="003562DF"/>
    <w:rsid w:val="0036126E"/>
    <w:rsid w:val="00362FAA"/>
    <w:rsid w:val="00364A5B"/>
    <w:rsid w:val="00364B4E"/>
    <w:rsid w:val="00365453"/>
    <w:rsid w:val="0036762C"/>
    <w:rsid w:val="00375243"/>
    <w:rsid w:val="00375339"/>
    <w:rsid w:val="00376052"/>
    <w:rsid w:val="003767A6"/>
    <w:rsid w:val="003827E6"/>
    <w:rsid w:val="0038499C"/>
    <w:rsid w:val="0038577D"/>
    <w:rsid w:val="00390BC7"/>
    <w:rsid w:val="0039112D"/>
    <w:rsid w:val="00393A3B"/>
    <w:rsid w:val="003953CF"/>
    <w:rsid w:val="00396CF5"/>
    <w:rsid w:val="003970A3"/>
    <w:rsid w:val="003A18AF"/>
    <w:rsid w:val="003A2D22"/>
    <w:rsid w:val="003A4F7C"/>
    <w:rsid w:val="003B0A00"/>
    <w:rsid w:val="003B12A6"/>
    <w:rsid w:val="003B34B7"/>
    <w:rsid w:val="003B627A"/>
    <w:rsid w:val="003C105A"/>
    <w:rsid w:val="003C4B8D"/>
    <w:rsid w:val="003C4F8B"/>
    <w:rsid w:val="003C50AA"/>
    <w:rsid w:val="003D0FD0"/>
    <w:rsid w:val="003D17CF"/>
    <w:rsid w:val="003D33E4"/>
    <w:rsid w:val="003F4406"/>
    <w:rsid w:val="003F5610"/>
    <w:rsid w:val="003F6AB9"/>
    <w:rsid w:val="00400F54"/>
    <w:rsid w:val="00404589"/>
    <w:rsid w:val="0041219A"/>
    <w:rsid w:val="00412C1A"/>
    <w:rsid w:val="00413661"/>
    <w:rsid w:val="00414760"/>
    <w:rsid w:val="00414C17"/>
    <w:rsid w:val="00416668"/>
    <w:rsid w:val="00426455"/>
    <w:rsid w:val="00426611"/>
    <w:rsid w:val="004337E3"/>
    <w:rsid w:val="00442143"/>
    <w:rsid w:val="004512B3"/>
    <w:rsid w:val="00451867"/>
    <w:rsid w:val="00453583"/>
    <w:rsid w:val="004603B2"/>
    <w:rsid w:val="0046207D"/>
    <w:rsid w:val="00463D72"/>
    <w:rsid w:val="004662F2"/>
    <w:rsid w:val="004747C3"/>
    <w:rsid w:val="00474BD3"/>
    <w:rsid w:val="00482EF3"/>
    <w:rsid w:val="0048451B"/>
    <w:rsid w:val="00486DDF"/>
    <w:rsid w:val="004871DC"/>
    <w:rsid w:val="00487375"/>
    <w:rsid w:val="004912C6"/>
    <w:rsid w:val="0049173E"/>
    <w:rsid w:val="004919C9"/>
    <w:rsid w:val="004928B4"/>
    <w:rsid w:val="0049773B"/>
    <w:rsid w:val="004B3D78"/>
    <w:rsid w:val="004B4276"/>
    <w:rsid w:val="004B4F08"/>
    <w:rsid w:val="004B5B04"/>
    <w:rsid w:val="004C12D1"/>
    <w:rsid w:val="004C385B"/>
    <w:rsid w:val="004C74A0"/>
    <w:rsid w:val="004C7703"/>
    <w:rsid w:val="004C7F1B"/>
    <w:rsid w:val="004D1345"/>
    <w:rsid w:val="004D528F"/>
    <w:rsid w:val="004D7258"/>
    <w:rsid w:val="004D755F"/>
    <w:rsid w:val="004E24C1"/>
    <w:rsid w:val="004E2DED"/>
    <w:rsid w:val="004E2F11"/>
    <w:rsid w:val="004F1209"/>
    <w:rsid w:val="004F2CCD"/>
    <w:rsid w:val="004F3F2F"/>
    <w:rsid w:val="0050016B"/>
    <w:rsid w:val="00500527"/>
    <w:rsid w:val="0050142F"/>
    <w:rsid w:val="00502973"/>
    <w:rsid w:val="00504281"/>
    <w:rsid w:val="005079F0"/>
    <w:rsid w:val="005114A1"/>
    <w:rsid w:val="0052273D"/>
    <w:rsid w:val="00522E15"/>
    <w:rsid w:val="00522E66"/>
    <w:rsid w:val="005267AA"/>
    <w:rsid w:val="00527052"/>
    <w:rsid w:val="00531102"/>
    <w:rsid w:val="00531C85"/>
    <w:rsid w:val="00532ECB"/>
    <w:rsid w:val="0053664F"/>
    <w:rsid w:val="00536D5A"/>
    <w:rsid w:val="00545E2B"/>
    <w:rsid w:val="005522E4"/>
    <w:rsid w:val="0055487F"/>
    <w:rsid w:val="0056109E"/>
    <w:rsid w:val="00562274"/>
    <w:rsid w:val="00563B42"/>
    <w:rsid w:val="005709EA"/>
    <w:rsid w:val="00571E56"/>
    <w:rsid w:val="00584B85"/>
    <w:rsid w:val="00591E0D"/>
    <w:rsid w:val="00592C1C"/>
    <w:rsid w:val="0059679B"/>
    <w:rsid w:val="005A7BF3"/>
    <w:rsid w:val="005B1DBA"/>
    <w:rsid w:val="005B2D3B"/>
    <w:rsid w:val="005B4194"/>
    <w:rsid w:val="005C0367"/>
    <w:rsid w:val="005C122F"/>
    <w:rsid w:val="005C1EDB"/>
    <w:rsid w:val="005C440A"/>
    <w:rsid w:val="005C482E"/>
    <w:rsid w:val="005D44F6"/>
    <w:rsid w:val="005E2C25"/>
    <w:rsid w:val="005E596E"/>
    <w:rsid w:val="005F0342"/>
    <w:rsid w:val="005F16E8"/>
    <w:rsid w:val="005F36EC"/>
    <w:rsid w:val="00600EFA"/>
    <w:rsid w:val="0060431E"/>
    <w:rsid w:val="006043A9"/>
    <w:rsid w:val="00613A55"/>
    <w:rsid w:val="00614F06"/>
    <w:rsid w:val="00620A0F"/>
    <w:rsid w:val="00624A5A"/>
    <w:rsid w:val="00624AFD"/>
    <w:rsid w:val="006341BA"/>
    <w:rsid w:val="00634585"/>
    <w:rsid w:val="00657F1D"/>
    <w:rsid w:val="00660CC4"/>
    <w:rsid w:val="00662D9A"/>
    <w:rsid w:val="00673E7E"/>
    <w:rsid w:val="006754FA"/>
    <w:rsid w:val="00687A77"/>
    <w:rsid w:val="00690DAC"/>
    <w:rsid w:val="006913BF"/>
    <w:rsid w:val="00695C15"/>
    <w:rsid w:val="006B48CF"/>
    <w:rsid w:val="006B703E"/>
    <w:rsid w:val="006B7623"/>
    <w:rsid w:val="006C2BE8"/>
    <w:rsid w:val="006C38A2"/>
    <w:rsid w:val="006C5EF3"/>
    <w:rsid w:val="006C628F"/>
    <w:rsid w:val="006D01EB"/>
    <w:rsid w:val="006D1B1F"/>
    <w:rsid w:val="006D1F46"/>
    <w:rsid w:val="006D5660"/>
    <w:rsid w:val="006D5BF9"/>
    <w:rsid w:val="006D6258"/>
    <w:rsid w:val="006E331D"/>
    <w:rsid w:val="006F3F1B"/>
    <w:rsid w:val="006F71D6"/>
    <w:rsid w:val="0070534D"/>
    <w:rsid w:val="0070660F"/>
    <w:rsid w:val="00707A97"/>
    <w:rsid w:val="00713AB3"/>
    <w:rsid w:val="007224B9"/>
    <w:rsid w:val="00722ACA"/>
    <w:rsid w:val="007331E8"/>
    <w:rsid w:val="00734033"/>
    <w:rsid w:val="00734E35"/>
    <w:rsid w:val="00736A13"/>
    <w:rsid w:val="00740A22"/>
    <w:rsid w:val="00743E97"/>
    <w:rsid w:val="00745A8C"/>
    <w:rsid w:val="007467F6"/>
    <w:rsid w:val="00747B68"/>
    <w:rsid w:val="007500E8"/>
    <w:rsid w:val="00755149"/>
    <w:rsid w:val="00755310"/>
    <w:rsid w:val="007572CC"/>
    <w:rsid w:val="00763492"/>
    <w:rsid w:val="00763ED2"/>
    <w:rsid w:val="007678C5"/>
    <w:rsid w:val="007731F9"/>
    <w:rsid w:val="007741E5"/>
    <w:rsid w:val="00776C80"/>
    <w:rsid w:val="00781477"/>
    <w:rsid w:val="0078292A"/>
    <w:rsid w:val="007836E3"/>
    <w:rsid w:val="0078534A"/>
    <w:rsid w:val="007A5171"/>
    <w:rsid w:val="007B3481"/>
    <w:rsid w:val="007B395C"/>
    <w:rsid w:val="007B6C03"/>
    <w:rsid w:val="007B6E8C"/>
    <w:rsid w:val="007C189E"/>
    <w:rsid w:val="007C34AD"/>
    <w:rsid w:val="007C479D"/>
    <w:rsid w:val="007C4A1B"/>
    <w:rsid w:val="007C64E0"/>
    <w:rsid w:val="007D023A"/>
    <w:rsid w:val="007D15AD"/>
    <w:rsid w:val="007D55A6"/>
    <w:rsid w:val="007D71BD"/>
    <w:rsid w:val="007E1666"/>
    <w:rsid w:val="007E1B7E"/>
    <w:rsid w:val="007E2C30"/>
    <w:rsid w:val="007F2895"/>
    <w:rsid w:val="007F390C"/>
    <w:rsid w:val="007F7770"/>
    <w:rsid w:val="00815470"/>
    <w:rsid w:val="008155F9"/>
    <w:rsid w:val="0082023A"/>
    <w:rsid w:val="0082551B"/>
    <w:rsid w:val="008256BC"/>
    <w:rsid w:val="0082631F"/>
    <w:rsid w:val="00826CD3"/>
    <w:rsid w:val="0083418C"/>
    <w:rsid w:val="00835DD8"/>
    <w:rsid w:val="008363D4"/>
    <w:rsid w:val="0083672D"/>
    <w:rsid w:val="00843368"/>
    <w:rsid w:val="00843B1E"/>
    <w:rsid w:val="008504C2"/>
    <w:rsid w:val="00850C75"/>
    <w:rsid w:val="00850D33"/>
    <w:rsid w:val="00850D4C"/>
    <w:rsid w:val="00852A29"/>
    <w:rsid w:val="00855201"/>
    <w:rsid w:val="008634E2"/>
    <w:rsid w:val="00864780"/>
    <w:rsid w:val="00867767"/>
    <w:rsid w:val="00867EF2"/>
    <w:rsid w:val="0087001C"/>
    <w:rsid w:val="00876E8C"/>
    <w:rsid w:val="00880FC5"/>
    <w:rsid w:val="008915F6"/>
    <w:rsid w:val="008917DF"/>
    <w:rsid w:val="0089236F"/>
    <w:rsid w:val="00892481"/>
    <w:rsid w:val="0089445D"/>
    <w:rsid w:val="008A2737"/>
    <w:rsid w:val="008A2F8A"/>
    <w:rsid w:val="008A328F"/>
    <w:rsid w:val="008A70ED"/>
    <w:rsid w:val="008B1DFC"/>
    <w:rsid w:val="008B2735"/>
    <w:rsid w:val="008B46F4"/>
    <w:rsid w:val="008C1E1F"/>
    <w:rsid w:val="008C436E"/>
    <w:rsid w:val="008C7135"/>
    <w:rsid w:val="008D272A"/>
    <w:rsid w:val="008D7C57"/>
    <w:rsid w:val="008E3EF5"/>
    <w:rsid w:val="008E78C6"/>
    <w:rsid w:val="008F68A2"/>
    <w:rsid w:val="00904B36"/>
    <w:rsid w:val="00911331"/>
    <w:rsid w:val="00916B30"/>
    <w:rsid w:val="009201CF"/>
    <w:rsid w:val="00930410"/>
    <w:rsid w:val="0093079F"/>
    <w:rsid w:val="00953BFD"/>
    <w:rsid w:val="00953D2F"/>
    <w:rsid w:val="009612A1"/>
    <w:rsid w:val="00967200"/>
    <w:rsid w:val="00967DFE"/>
    <w:rsid w:val="00975B0E"/>
    <w:rsid w:val="00976428"/>
    <w:rsid w:val="00984FDE"/>
    <w:rsid w:val="00985317"/>
    <w:rsid w:val="0099102F"/>
    <w:rsid w:val="009938C6"/>
    <w:rsid w:val="009957DB"/>
    <w:rsid w:val="00997859"/>
    <w:rsid w:val="009A733A"/>
    <w:rsid w:val="009B0E37"/>
    <w:rsid w:val="009B2A17"/>
    <w:rsid w:val="009B6C21"/>
    <w:rsid w:val="009C47E1"/>
    <w:rsid w:val="009C5AFE"/>
    <w:rsid w:val="009D3139"/>
    <w:rsid w:val="009E44B9"/>
    <w:rsid w:val="009F0C78"/>
    <w:rsid w:val="009F7B70"/>
    <w:rsid w:val="00A00AEC"/>
    <w:rsid w:val="00A034EC"/>
    <w:rsid w:val="00A04305"/>
    <w:rsid w:val="00A13E61"/>
    <w:rsid w:val="00A21DC3"/>
    <w:rsid w:val="00A27870"/>
    <w:rsid w:val="00A3334F"/>
    <w:rsid w:val="00A413B7"/>
    <w:rsid w:val="00A438D8"/>
    <w:rsid w:val="00A51358"/>
    <w:rsid w:val="00A61C80"/>
    <w:rsid w:val="00A749BB"/>
    <w:rsid w:val="00A74D38"/>
    <w:rsid w:val="00A76BCA"/>
    <w:rsid w:val="00A80109"/>
    <w:rsid w:val="00A91B00"/>
    <w:rsid w:val="00A94595"/>
    <w:rsid w:val="00A94B00"/>
    <w:rsid w:val="00A96078"/>
    <w:rsid w:val="00AA10BC"/>
    <w:rsid w:val="00AA4B57"/>
    <w:rsid w:val="00AA5144"/>
    <w:rsid w:val="00AA5C6A"/>
    <w:rsid w:val="00AA6181"/>
    <w:rsid w:val="00AB0095"/>
    <w:rsid w:val="00AB7A25"/>
    <w:rsid w:val="00AB7D44"/>
    <w:rsid w:val="00AC1128"/>
    <w:rsid w:val="00AC576E"/>
    <w:rsid w:val="00AC5990"/>
    <w:rsid w:val="00AD3E6A"/>
    <w:rsid w:val="00AD3FAF"/>
    <w:rsid w:val="00AD57E1"/>
    <w:rsid w:val="00AE0041"/>
    <w:rsid w:val="00AE0DA5"/>
    <w:rsid w:val="00AF22D5"/>
    <w:rsid w:val="00B03374"/>
    <w:rsid w:val="00B10AA2"/>
    <w:rsid w:val="00B13307"/>
    <w:rsid w:val="00B15174"/>
    <w:rsid w:val="00B15C10"/>
    <w:rsid w:val="00B25955"/>
    <w:rsid w:val="00B265AE"/>
    <w:rsid w:val="00B32985"/>
    <w:rsid w:val="00B3548F"/>
    <w:rsid w:val="00B36654"/>
    <w:rsid w:val="00B414B2"/>
    <w:rsid w:val="00B43D71"/>
    <w:rsid w:val="00B44EB5"/>
    <w:rsid w:val="00B52460"/>
    <w:rsid w:val="00B52930"/>
    <w:rsid w:val="00B537D7"/>
    <w:rsid w:val="00B621C0"/>
    <w:rsid w:val="00B6540C"/>
    <w:rsid w:val="00B756AA"/>
    <w:rsid w:val="00B75BDD"/>
    <w:rsid w:val="00B83E16"/>
    <w:rsid w:val="00B94DED"/>
    <w:rsid w:val="00B95EA7"/>
    <w:rsid w:val="00BA5BA0"/>
    <w:rsid w:val="00BA645D"/>
    <w:rsid w:val="00BA6CD2"/>
    <w:rsid w:val="00BB262E"/>
    <w:rsid w:val="00BB684C"/>
    <w:rsid w:val="00BC25FA"/>
    <w:rsid w:val="00BC65BD"/>
    <w:rsid w:val="00BC6AD5"/>
    <w:rsid w:val="00BD02A9"/>
    <w:rsid w:val="00BD147C"/>
    <w:rsid w:val="00BD1DF6"/>
    <w:rsid w:val="00BD2FBC"/>
    <w:rsid w:val="00BD4DC8"/>
    <w:rsid w:val="00BE02BF"/>
    <w:rsid w:val="00BF1208"/>
    <w:rsid w:val="00BF39BD"/>
    <w:rsid w:val="00BF4E79"/>
    <w:rsid w:val="00BF4FB6"/>
    <w:rsid w:val="00BF7486"/>
    <w:rsid w:val="00C0228F"/>
    <w:rsid w:val="00C043B4"/>
    <w:rsid w:val="00C065E5"/>
    <w:rsid w:val="00C070E9"/>
    <w:rsid w:val="00C133E7"/>
    <w:rsid w:val="00C13573"/>
    <w:rsid w:val="00C1442E"/>
    <w:rsid w:val="00C14D62"/>
    <w:rsid w:val="00C15602"/>
    <w:rsid w:val="00C15A01"/>
    <w:rsid w:val="00C224EA"/>
    <w:rsid w:val="00C2291D"/>
    <w:rsid w:val="00C22AFE"/>
    <w:rsid w:val="00C23F12"/>
    <w:rsid w:val="00C249BE"/>
    <w:rsid w:val="00C26FC3"/>
    <w:rsid w:val="00C30637"/>
    <w:rsid w:val="00C40B47"/>
    <w:rsid w:val="00C47518"/>
    <w:rsid w:val="00C47D88"/>
    <w:rsid w:val="00C50914"/>
    <w:rsid w:val="00C50A8F"/>
    <w:rsid w:val="00C55F70"/>
    <w:rsid w:val="00C56A9E"/>
    <w:rsid w:val="00C63243"/>
    <w:rsid w:val="00C653D7"/>
    <w:rsid w:val="00C71E48"/>
    <w:rsid w:val="00C72FDA"/>
    <w:rsid w:val="00C73630"/>
    <w:rsid w:val="00C7426C"/>
    <w:rsid w:val="00C752EA"/>
    <w:rsid w:val="00C7713A"/>
    <w:rsid w:val="00C81A89"/>
    <w:rsid w:val="00C846B2"/>
    <w:rsid w:val="00C86526"/>
    <w:rsid w:val="00C916F7"/>
    <w:rsid w:val="00C94313"/>
    <w:rsid w:val="00C95605"/>
    <w:rsid w:val="00C95CF8"/>
    <w:rsid w:val="00CA4A4A"/>
    <w:rsid w:val="00CA532C"/>
    <w:rsid w:val="00CA543A"/>
    <w:rsid w:val="00CA71AE"/>
    <w:rsid w:val="00CB0F21"/>
    <w:rsid w:val="00CB217C"/>
    <w:rsid w:val="00CB2EB4"/>
    <w:rsid w:val="00CB3276"/>
    <w:rsid w:val="00CB3BDA"/>
    <w:rsid w:val="00CB49CC"/>
    <w:rsid w:val="00CC4FAB"/>
    <w:rsid w:val="00CD7F8A"/>
    <w:rsid w:val="00CE0A11"/>
    <w:rsid w:val="00CE3BBF"/>
    <w:rsid w:val="00CF3253"/>
    <w:rsid w:val="00D1011F"/>
    <w:rsid w:val="00D14E98"/>
    <w:rsid w:val="00D16CAB"/>
    <w:rsid w:val="00D17253"/>
    <w:rsid w:val="00D27D76"/>
    <w:rsid w:val="00D30291"/>
    <w:rsid w:val="00D33F76"/>
    <w:rsid w:val="00D378C1"/>
    <w:rsid w:val="00D37B30"/>
    <w:rsid w:val="00D40CA5"/>
    <w:rsid w:val="00D411CA"/>
    <w:rsid w:val="00D4337B"/>
    <w:rsid w:val="00D471D0"/>
    <w:rsid w:val="00D56796"/>
    <w:rsid w:val="00D57E88"/>
    <w:rsid w:val="00D732CF"/>
    <w:rsid w:val="00D745E8"/>
    <w:rsid w:val="00D760CE"/>
    <w:rsid w:val="00D761BE"/>
    <w:rsid w:val="00D80E8A"/>
    <w:rsid w:val="00D84C8C"/>
    <w:rsid w:val="00D87E23"/>
    <w:rsid w:val="00D9536E"/>
    <w:rsid w:val="00DA40A9"/>
    <w:rsid w:val="00DA51BE"/>
    <w:rsid w:val="00DA56F4"/>
    <w:rsid w:val="00DA61CC"/>
    <w:rsid w:val="00DA78C1"/>
    <w:rsid w:val="00DB1395"/>
    <w:rsid w:val="00DB4982"/>
    <w:rsid w:val="00DB4F1A"/>
    <w:rsid w:val="00DC56EC"/>
    <w:rsid w:val="00DC77AD"/>
    <w:rsid w:val="00DD3245"/>
    <w:rsid w:val="00DD5022"/>
    <w:rsid w:val="00DD52F0"/>
    <w:rsid w:val="00DD7E54"/>
    <w:rsid w:val="00DE1B44"/>
    <w:rsid w:val="00DE2818"/>
    <w:rsid w:val="00DE691B"/>
    <w:rsid w:val="00DF2F42"/>
    <w:rsid w:val="00DF4277"/>
    <w:rsid w:val="00DF4FC1"/>
    <w:rsid w:val="00E00494"/>
    <w:rsid w:val="00E029A2"/>
    <w:rsid w:val="00E04CF9"/>
    <w:rsid w:val="00E11507"/>
    <w:rsid w:val="00E1247F"/>
    <w:rsid w:val="00E2047B"/>
    <w:rsid w:val="00E22735"/>
    <w:rsid w:val="00E25238"/>
    <w:rsid w:val="00E263FA"/>
    <w:rsid w:val="00E27917"/>
    <w:rsid w:val="00E27CE3"/>
    <w:rsid w:val="00E31AE1"/>
    <w:rsid w:val="00E35E60"/>
    <w:rsid w:val="00E36A32"/>
    <w:rsid w:val="00E36B6F"/>
    <w:rsid w:val="00E413ED"/>
    <w:rsid w:val="00E42D61"/>
    <w:rsid w:val="00E452E5"/>
    <w:rsid w:val="00E475D9"/>
    <w:rsid w:val="00E51128"/>
    <w:rsid w:val="00E52733"/>
    <w:rsid w:val="00E62B76"/>
    <w:rsid w:val="00E71143"/>
    <w:rsid w:val="00E71202"/>
    <w:rsid w:val="00E7394E"/>
    <w:rsid w:val="00E8293E"/>
    <w:rsid w:val="00E845B8"/>
    <w:rsid w:val="00E94F4E"/>
    <w:rsid w:val="00E95A5E"/>
    <w:rsid w:val="00EA0ADE"/>
    <w:rsid w:val="00EA5A34"/>
    <w:rsid w:val="00EA6DA1"/>
    <w:rsid w:val="00EB2334"/>
    <w:rsid w:val="00EC188A"/>
    <w:rsid w:val="00EC402E"/>
    <w:rsid w:val="00ED1EE9"/>
    <w:rsid w:val="00ED449D"/>
    <w:rsid w:val="00ED614A"/>
    <w:rsid w:val="00ED6631"/>
    <w:rsid w:val="00EE2E5B"/>
    <w:rsid w:val="00EE3511"/>
    <w:rsid w:val="00EE4EEF"/>
    <w:rsid w:val="00EE67C9"/>
    <w:rsid w:val="00EE68C8"/>
    <w:rsid w:val="00EF22E0"/>
    <w:rsid w:val="00EF640F"/>
    <w:rsid w:val="00EF788B"/>
    <w:rsid w:val="00F04594"/>
    <w:rsid w:val="00F141FF"/>
    <w:rsid w:val="00F221B3"/>
    <w:rsid w:val="00F25A11"/>
    <w:rsid w:val="00F26E8E"/>
    <w:rsid w:val="00F271CA"/>
    <w:rsid w:val="00F3109E"/>
    <w:rsid w:val="00F43F7E"/>
    <w:rsid w:val="00F440FC"/>
    <w:rsid w:val="00F44F21"/>
    <w:rsid w:val="00F50D36"/>
    <w:rsid w:val="00F51A44"/>
    <w:rsid w:val="00F51CCC"/>
    <w:rsid w:val="00F52402"/>
    <w:rsid w:val="00F547F4"/>
    <w:rsid w:val="00F552B1"/>
    <w:rsid w:val="00F65710"/>
    <w:rsid w:val="00F670DC"/>
    <w:rsid w:val="00F71988"/>
    <w:rsid w:val="00F7234B"/>
    <w:rsid w:val="00F73440"/>
    <w:rsid w:val="00F75657"/>
    <w:rsid w:val="00F83BB4"/>
    <w:rsid w:val="00F91681"/>
    <w:rsid w:val="00F92301"/>
    <w:rsid w:val="00F92C3C"/>
    <w:rsid w:val="00F94F54"/>
    <w:rsid w:val="00FA252C"/>
    <w:rsid w:val="00FA32BF"/>
    <w:rsid w:val="00FA3CFB"/>
    <w:rsid w:val="00FA50E8"/>
    <w:rsid w:val="00FB15F0"/>
    <w:rsid w:val="00FB252C"/>
    <w:rsid w:val="00FB31A8"/>
    <w:rsid w:val="00FB4AB0"/>
    <w:rsid w:val="00FB6AD1"/>
    <w:rsid w:val="00FC3311"/>
    <w:rsid w:val="00FC4570"/>
    <w:rsid w:val="00FC4B82"/>
    <w:rsid w:val="00FC5B93"/>
    <w:rsid w:val="00FD3B9F"/>
    <w:rsid w:val="00FD6A9E"/>
    <w:rsid w:val="00FE3614"/>
    <w:rsid w:val="00FE71D0"/>
    <w:rsid w:val="00F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8D51"/>
  <w15:docId w15:val="{397F4EC8-5706-4991-8B4E-3FAB7690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A9"/>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7E6"/>
    <w:pPr>
      <w:widowControl w:val="0"/>
      <w:autoSpaceDE w:val="0"/>
      <w:autoSpaceDN w:val="0"/>
      <w:spacing w:after="0"/>
      <w:ind w:left="800" w:right="0" w:firstLine="0"/>
    </w:pPr>
    <w:rPr>
      <w:rFonts w:eastAsia="Times New Roman"/>
      <w:szCs w:val="24"/>
    </w:rPr>
  </w:style>
  <w:style w:type="character" w:customStyle="1" w:styleId="BodyTextChar">
    <w:name w:val="Body Text Char"/>
    <w:basedOn w:val="DefaultParagraphFont"/>
    <w:link w:val="BodyText"/>
    <w:uiPriority w:val="1"/>
    <w:rsid w:val="003827E6"/>
    <w:rPr>
      <w:rFonts w:ascii="Times New Roman" w:eastAsia="Times New Roman" w:hAnsi="Times New Roman" w:cs="Times New Roman"/>
      <w:sz w:val="24"/>
      <w:szCs w:val="24"/>
    </w:rPr>
  </w:style>
  <w:style w:type="paragraph" w:styleId="NoSpacing">
    <w:name w:val="No Spacing"/>
    <w:uiPriority w:val="1"/>
    <w:qFormat/>
    <w:rsid w:val="003B0A00"/>
    <w:pPr>
      <w:spacing w:after="0" w:line="240" w:lineRule="auto"/>
      <w:ind w:left="720" w:right="720" w:hanging="72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4E69-7818-4662-A1E8-3F73AC7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Aldana</dc:creator>
  <cp:lastModifiedBy>OfficeActivation2</cp:lastModifiedBy>
  <cp:revision>2</cp:revision>
  <cp:lastPrinted>2022-03-14T16:45:00Z</cp:lastPrinted>
  <dcterms:created xsi:type="dcterms:W3CDTF">2022-09-30T03:41:00Z</dcterms:created>
  <dcterms:modified xsi:type="dcterms:W3CDTF">2022-09-30T03:41:00Z</dcterms:modified>
</cp:coreProperties>
</file>