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D157" w14:textId="77777777" w:rsidR="00CC05A8" w:rsidRDefault="00CC05A8" w:rsidP="00BD02A9">
      <w:pPr>
        <w:spacing w:after="0"/>
        <w:jc w:val="both"/>
        <w:rPr>
          <w:bCs/>
        </w:rPr>
      </w:pPr>
      <w:bookmarkStart w:id="0" w:name="_Hlk35779789"/>
      <w:bookmarkStart w:id="1" w:name="_Hlk520968994"/>
    </w:p>
    <w:p w14:paraId="7814D76A" w14:textId="77777777" w:rsidR="00CC05A8" w:rsidRDefault="00CC05A8" w:rsidP="00BD02A9">
      <w:pPr>
        <w:spacing w:after="0"/>
        <w:jc w:val="both"/>
        <w:rPr>
          <w:bCs/>
        </w:rPr>
      </w:pPr>
    </w:p>
    <w:p w14:paraId="51640B36" w14:textId="77777777" w:rsidR="00CC05A8" w:rsidRDefault="00CC05A8" w:rsidP="00BD02A9">
      <w:pPr>
        <w:spacing w:after="0"/>
        <w:jc w:val="both"/>
        <w:rPr>
          <w:bCs/>
        </w:rPr>
      </w:pPr>
    </w:p>
    <w:p w14:paraId="2E337AAB" w14:textId="060EE765" w:rsidR="00BD02A9" w:rsidRPr="00544975" w:rsidRDefault="00B25955" w:rsidP="00BD02A9">
      <w:pPr>
        <w:spacing w:after="0"/>
        <w:jc w:val="both"/>
        <w:rPr>
          <w:bCs/>
        </w:rPr>
      </w:pPr>
      <w:r w:rsidRPr="00544975">
        <w:rPr>
          <w:bCs/>
        </w:rPr>
        <w:t>BENJAMIN R. ALDANA</w:t>
      </w:r>
      <w:r w:rsidR="00DD3245" w:rsidRPr="00544975">
        <w:rPr>
          <w:bCs/>
        </w:rPr>
        <w:t xml:space="preserve"> </w:t>
      </w:r>
      <w:r w:rsidR="00BD02A9" w:rsidRPr="00544975">
        <w:rPr>
          <w:bCs/>
        </w:rPr>
        <w:t>(</w:t>
      </w:r>
      <w:r w:rsidRPr="00544975">
        <w:rPr>
          <w:bCs/>
        </w:rPr>
        <w:t>16769</w:t>
      </w:r>
      <w:r w:rsidR="00BD02A9" w:rsidRPr="00544975">
        <w:rPr>
          <w:bCs/>
        </w:rPr>
        <w:t>)</w:t>
      </w:r>
    </w:p>
    <w:p w14:paraId="07F5B470" w14:textId="77777777" w:rsidR="00BD02A9" w:rsidRPr="001233B5" w:rsidRDefault="00BD02A9" w:rsidP="00BD02A9">
      <w:pPr>
        <w:spacing w:after="0"/>
        <w:ind w:left="0" w:right="0" w:firstLine="0"/>
        <w:jc w:val="both"/>
      </w:pPr>
      <w:r w:rsidRPr="001233B5">
        <w:t>UTAH COUNTY PUBLIC DEFENDER ASSOCIATION</w:t>
      </w:r>
    </w:p>
    <w:p w14:paraId="7817D6A5" w14:textId="416DCCAE" w:rsidR="00BD02A9" w:rsidRDefault="00BD02A9" w:rsidP="00BD02A9">
      <w:pPr>
        <w:spacing w:after="0"/>
        <w:ind w:left="0" w:right="0" w:firstLine="0"/>
        <w:jc w:val="both"/>
      </w:pPr>
      <w:r>
        <w:t>Attorney for Defendant</w:t>
      </w:r>
    </w:p>
    <w:p w14:paraId="45926D5B" w14:textId="69BB236D" w:rsidR="00BD02A9" w:rsidRDefault="0038553F" w:rsidP="00BD02A9">
      <w:pPr>
        <w:spacing w:after="0"/>
        <w:ind w:left="0" w:right="0" w:firstLine="0"/>
        <w:jc w:val="both"/>
      </w:pPr>
      <w:r>
        <w:t>180 North</w:t>
      </w:r>
      <w:r w:rsidR="00BD02A9">
        <w:t xml:space="preserve"> University Ave. Suite </w:t>
      </w:r>
      <w:r>
        <w:t>140</w:t>
      </w:r>
    </w:p>
    <w:p w14:paraId="1D7A07D0" w14:textId="77777777" w:rsidR="00BD02A9" w:rsidRDefault="00BD02A9" w:rsidP="00BD02A9">
      <w:pPr>
        <w:spacing w:after="0"/>
        <w:ind w:left="0" w:right="0" w:firstLine="0"/>
        <w:jc w:val="both"/>
      </w:pPr>
      <w:r>
        <w:t>Provo, Utah 84601</w:t>
      </w:r>
    </w:p>
    <w:p w14:paraId="75BEC903" w14:textId="7FA1778D" w:rsidR="00BD02A9" w:rsidRDefault="00BD02A9" w:rsidP="007C2B70">
      <w:pPr>
        <w:ind w:left="0" w:right="0" w:firstLine="0"/>
        <w:jc w:val="both"/>
      </w:pPr>
      <w:r>
        <w:t>Telephone: (801) 852-1070</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4705"/>
        <w:gridCol w:w="4871"/>
      </w:tblGrid>
      <w:tr w:rsidR="00BD02A9" w:rsidRPr="00AE28A6" w14:paraId="755DA8C2" w14:textId="77777777" w:rsidTr="000459AD">
        <w:tc>
          <w:tcPr>
            <w:tcW w:w="9576" w:type="dxa"/>
            <w:gridSpan w:val="2"/>
            <w:tcBorders>
              <w:top w:val="single" w:sz="4" w:space="0" w:color="auto"/>
              <w:left w:val="nil"/>
              <w:bottom w:val="nil"/>
              <w:right w:val="nil"/>
            </w:tcBorders>
            <w:vAlign w:val="center"/>
          </w:tcPr>
          <w:p w14:paraId="3174700C" w14:textId="4C3AE1A7" w:rsidR="00200001" w:rsidRPr="00544975" w:rsidRDefault="00BD02A9" w:rsidP="00974308">
            <w:pPr>
              <w:spacing w:before="240" w:after="0" w:line="276" w:lineRule="auto"/>
              <w:ind w:left="0" w:right="0" w:firstLine="0"/>
              <w:jc w:val="center"/>
              <w:rPr>
                <w:bCs/>
              </w:rPr>
            </w:pPr>
            <w:r w:rsidRPr="00544975">
              <w:rPr>
                <w:bCs/>
              </w:rPr>
              <w:t>IN THE FOURTH JUDICIAL DISTRICT COURT</w:t>
            </w:r>
          </w:p>
          <w:p w14:paraId="5AFB4A49" w14:textId="0C219907" w:rsidR="00824646" w:rsidRPr="00200001" w:rsidRDefault="00BD02A9" w:rsidP="00BB7B15">
            <w:pPr>
              <w:ind w:left="0" w:right="0" w:firstLine="0"/>
              <w:jc w:val="center"/>
              <w:rPr>
                <w:b/>
              </w:rPr>
            </w:pPr>
            <w:r w:rsidRPr="00544975">
              <w:rPr>
                <w:bCs/>
              </w:rPr>
              <w:t>UTAH COUNTY, STATE OF UTAH</w:t>
            </w:r>
          </w:p>
        </w:tc>
      </w:tr>
      <w:tr w:rsidR="0046207D" w:rsidRPr="00AE28A6" w14:paraId="17A2CABE" w14:textId="77777777" w:rsidTr="00AD20E5">
        <w:tc>
          <w:tcPr>
            <w:tcW w:w="4705" w:type="dxa"/>
            <w:tcBorders>
              <w:top w:val="single" w:sz="4" w:space="0" w:color="000000"/>
              <w:left w:val="nil"/>
            </w:tcBorders>
          </w:tcPr>
          <w:p w14:paraId="2BBE0A29" w14:textId="77777777" w:rsidR="000E71BC" w:rsidRPr="00544975" w:rsidRDefault="000E71BC" w:rsidP="000E71BC">
            <w:pPr>
              <w:spacing w:before="240" w:after="0"/>
              <w:ind w:left="0" w:right="0" w:firstLine="0"/>
              <w:rPr>
                <w:bCs/>
              </w:rPr>
            </w:pPr>
            <w:r w:rsidRPr="00544975">
              <w:rPr>
                <w:bCs/>
              </w:rPr>
              <w:t>STATE OF UTAH,</w:t>
            </w:r>
          </w:p>
          <w:p w14:paraId="349897AB" w14:textId="77777777" w:rsidR="000E71BC" w:rsidRPr="00544975" w:rsidRDefault="000E71BC" w:rsidP="000E71BC">
            <w:pPr>
              <w:spacing w:after="0"/>
              <w:ind w:left="0" w:right="0" w:firstLine="0"/>
              <w:rPr>
                <w:bCs/>
              </w:rPr>
            </w:pPr>
          </w:p>
          <w:p w14:paraId="5CFF4D9E" w14:textId="77777777" w:rsidR="000E71BC" w:rsidRPr="00544975" w:rsidRDefault="000E71BC" w:rsidP="000E71BC">
            <w:pPr>
              <w:spacing w:after="0"/>
              <w:ind w:right="0" w:firstLine="0"/>
              <w:rPr>
                <w:bCs/>
              </w:rPr>
            </w:pPr>
            <w:r w:rsidRPr="00544975">
              <w:rPr>
                <w:bCs/>
              </w:rPr>
              <w:t>Plaintiff,</w:t>
            </w:r>
          </w:p>
          <w:p w14:paraId="49517FB6" w14:textId="77777777" w:rsidR="000E71BC" w:rsidRPr="00544975" w:rsidRDefault="000E71BC" w:rsidP="000E71BC">
            <w:pPr>
              <w:spacing w:after="0"/>
              <w:ind w:left="0" w:right="0" w:firstLine="0"/>
              <w:rPr>
                <w:bCs/>
              </w:rPr>
            </w:pPr>
          </w:p>
          <w:p w14:paraId="569D56BC" w14:textId="77777777" w:rsidR="000E71BC" w:rsidRPr="00544975" w:rsidRDefault="000E71BC" w:rsidP="000E71BC">
            <w:pPr>
              <w:spacing w:after="0"/>
              <w:ind w:left="360" w:right="0" w:firstLine="0"/>
              <w:rPr>
                <w:bCs/>
              </w:rPr>
            </w:pPr>
            <w:r w:rsidRPr="00544975">
              <w:rPr>
                <w:bCs/>
              </w:rPr>
              <w:t>v.</w:t>
            </w:r>
          </w:p>
          <w:p w14:paraId="6D156088" w14:textId="77777777" w:rsidR="000E71BC" w:rsidRPr="00544975" w:rsidRDefault="000E71BC" w:rsidP="000E71BC">
            <w:pPr>
              <w:spacing w:after="0"/>
              <w:ind w:left="0" w:right="0" w:firstLine="0"/>
              <w:rPr>
                <w:bCs/>
              </w:rPr>
            </w:pPr>
          </w:p>
          <w:p w14:paraId="6825335F" w14:textId="3A8FD106" w:rsidR="000E71BC" w:rsidRPr="00544975" w:rsidRDefault="005F4A84" w:rsidP="000E71BC">
            <w:pPr>
              <w:spacing w:after="0"/>
              <w:ind w:left="0" w:right="0" w:firstLine="0"/>
              <w:rPr>
                <w:bCs/>
              </w:rPr>
            </w:pPr>
            <w:r>
              <w:rPr>
                <w:bCs/>
              </w:rPr>
              <w:t>JANE DOE</w:t>
            </w:r>
            <w:r w:rsidR="000E71BC" w:rsidRPr="00544975">
              <w:rPr>
                <w:bCs/>
              </w:rPr>
              <w:t>,</w:t>
            </w:r>
          </w:p>
          <w:p w14:paraId="7630A7FD" w14:textId="77777777" w:rsidR="000E71BC" w:rsidRPr="00544975" w:rsidRDefault="000E71BC" w:rsidP="000E71BC">
            <w:pPr>
              <w:spacing w:after="0"/>
              <w:ind w:left="0" w:right="0" w:firstLine="0"/>
              <w:rPr>
                <w:bCs/>
              </w:rPr>
            </w:pPr>
          </w:p>
          <w:p w14:paraId="6D2E2A5E" w14:textId="43A98501" w:rsidR="00824646" w:rsidRPr="00544975" w:rsidRDefault="000E71BC" w:rsidP="000E71BC">
            <w:pPr>
              <w:ind w:right="0" w:firstLine="0"/>
              <w:rPr>
                <w:bCs/>
              </w:rPr>
            </w:pPr>
            <w:r w:rsidRPr="00544975">
              <w:rPr>
                <w:bCs/>
              </w:rPr>
              <w:t>Defendant.</w:t>
            </w:r>
          </w:p>
        </w:tc>
        <w:tc>
          <w:tcPr>
            <w:tcW w:w="4871" w:type="dxa"/>
            <w:tcBorders>
              <w:top w:val="single" w:sz="4" w:space="0" w:color="000000"/>
              <w:right w:val="nil"/>
            </w:tcBorders>
          </w:tcPr>
          <w:p w14:paraId="21E2B183" w14:textId="77777777" w:rsidR="00AD20E5" w:rsidRDefault="00F3116D" w:rsidP="00AD20E5">
            <w:pPr>
              <w:spacing w:before="240" w:after="0"/>
              <w:ind w:left="252" w:right="0" w:firstLine="0"/>
              <w:jc w:val="center"/>
              <w:rPr>
                <w:bCs/>
              </w:rPr>
            </w:pPr>
            <w:r>
              <w:rPr>
                <w:bCs/>
              </w:rPr>
              <w:t xml:space="preserve">REPLY TO DIVISION’S MEMORANDUM OPPOSING DEFENDANT’S </w:t>
            </w:r>
            <w:r w:rsidR="003010D3" w:rsidRPr="00544975">
              <w:rPr>
                <w:bCs/>
              </w:rPr>
              <w:t xml:space="preserve">MOTION </w:t>
            </w:r>
          </w:p>
          <w:p w14:paraId="3089F627" w14:textId="77777777" w:rsidR="00AD20E5" w:rsidRDefault="003010D3" w:rsidP="00691565">
            <w:pPr>
              <w:spacing w:after="0"/>
              <w:ind w:left="252" w:right="0" w:firstLine="0"/>
              <w:jc w:val="center"/>
              <w:rPr>
                <w:bCs/>
              </w:rPr>
            </w:pPr>
            <w:r w:rsidRPr="00544975">
              <w:rPr>
                <w:bCs/>
              </w:rPr>
              <w:t>FOR</w:t>
            </w:r>
            <w:r w:rsidR="00BD4F4C" w:rsidRPr="00544975">
              <w:rPr>
                <w:bCs/>
              </w:rPr>
              <w:t xml:space="preserve"> COURT </w:t>
            </w:r>
            <w:r w:rsidR="00691565">
              <w:rPr>
                <w:bCs/>
              </w:rPr>
              <w:t xml:space="preserve">ORDER </w:t>
            </w:r>
            <w:r w:rsidR="00F3116D">
              <w:rPr>
                <w:bCs/>
              </w:rPr>
              <w:t>FOR D</w:t>
            </w:r>
            <w:r w:rsidR="00544975">
              <w:rPr>
                <w:bCs/>
              </w:rPr>
              <w:t xml:space="preserve">CFS </w:t>
            </w:r>
          </w:p>
          <w:p w14:paraId="63153A11" w14:textId="77777777" w:rsidR="00AD20E5" w:rsidRDefault="00544975" w:rsidP="00691565">
            <w:pPr>
              <w:spacing w:after="0"/>
              <w:ind w:left="252" w:right="0" w:firstLine="0"/>
              <w:jc w:val="center"/>
              <w:rPr>
                <w:bCs/>
              </w:rPr>
            </w:pPr>
            <w:r>
              <w:rPr>
                <w:bCs/>
              </w:rPr>
              <w:t xml:space="preserve">RECORDS </w:t>
            </w:r>
            <w:r w:rsidR="00CB06CE" w:rsidRPr="00544975">
              <w:rPr>
                <w:bCs/>
              </w:rPr>
              <w:t xml:space="preserve">PURSUANT TO </w:t>
            </w:r>
          </w:p>
          <w:p w14:paraId="785F8AF0" w14:textId="77777777" w:rsidR="00AD20E5" w:rsidRDefault="00CB06CE" w:rsidP="00691565">
            <w:pPr>
              <w:spacing w:after="0"/>
              <w:ind w:left="252" w:right="0" w:firstLine="0"/>
              <w:jc w:val="center"/>
              <w:rPr>
                <w:bCs/>
              </w:rPr>
            </w:pPr>
            <w:r w:rsidRPr="00544975">
              <w:rPr>
                <w:bCs/>
              </w:rPr>
              <w:t xml:space="preserve">THE GOVERNMENT </w:t>
            </w:r>
          </w:p>
          <w:p w14:paraId="212E37F8" w14:textId="77777777" w:rsidR="00AD20E5" w:rsidRDefault="00CB06CE" w:rsidP="00691565">
            <w:pPr>
              <w:spacing w:after="0"/>
              <w:ind w:left="252" w:right="0" w:firstLine="0"/>
              <w:jc w:val="center"/>
              <w:rPr>
                <w:bCs/>
              </w:rPr>
            </w:pPr>
            <w:r w:rsidRPr="00544975">
              <w:rPr>
                <w:bCs/>
              </w:rPr>
              <w:t>RECORDS ACCESS</w:t>
            </w:r>
            <w:r w:rsidR="00691565">
              <w:rPr>
                <w:bCs/>
              </w:rPr>
              <w:t xml:space="preserve"> </w:t>
            </w:r>
          </w:p>
          <w:p w14:paraId="67B6605E" w14:textId="41E24999" w:rsidR="003010D3" w:rsidRPr="00544975" w:rsidRDefault="00CB06CE" w:rsidP="00691565">
            <w:pPr>
              <w:spacing w:after="0"/>
              <w:ind w:left="252" w:right="0" w:firstLine="0"/>
              <w:jc w:val="center"/>
              <w:rPr>
                <w:bCs/>
              </w:rPr>
            </w:pPr>
            <w:r w:rsidRPr="00544975">
              <w:rPr>
                <w:bCs/>
              </w:rPr>
              <w:t>MANAGEMENT ACT</w:t>
            </w:r>
          </w:p>
          <w:p w14:paraId="5A9BE4AB" w14:textId="058F2CF4" w:rsidR="005D38AD" w:rsidRDefault="005D38AD" w:rsidP="005D38AD">
            <w:pPr>
              <w:spacing w:after="0"/>
              <w:ind w:left="0" w:right="0" w:firstLine="0"/>
              <w:jc w:val="center"/>
              <w:rPr>
                <w:b/>
              </w:rPr>
            </w:pPr>
          </w:p>
          <w:p w14:paraId="2D836B82" w14:textId="56887BCF" w:rsidR="005D38AD" w:rsidRPr="00544975" w:rsidRDefault="005D38AD" w:rsidP="005D38AD">
            <w:pPr>
              <w:spacing w:after="0"/>
              <w:ind w:left="252" w:right="0" w:firstLine="0"/>
              <w:jc w:val="center"/>
              <w:rPr>
                <w:bCs/>
              </w:rPr>
            </w:pPr>
            <w:r w:rsidRPr="00544975">
              <w:rPr>
                <w:bCs/>
              </w:rPr>
              <w:t xml:space="preserve">Case No. </w:t>
            </w:r>
            <w:r w:rsidR="005F4A84">
              <w:rPr>
                <w:bCs/>
              </w:rPr>
              <w:t>000000000</w:t>
            </w:r>
          </w:p>
          <w:p w14:paraId="25C01918" w14:textId="77777777" w:rsidR="005D38AD" w:rsidRPr="00200001" w:rsidRDefault="005D38AD" w:rsidP="005D38AD">
            <w:pPr>
              <w:spacing w:after="0"/>
              <w:ind w:left="252" w:right="0" w:firstLine="0"/>
              <w:jc w:val="center"/>
              <w:rPr>
                <w:b/>
              </w:rPr>
            </w:pPr>
          </w:p>
          <w:p w14:paraId="4E4DBEF0" w14:textId="22F2ABBE" w:rsidR="00824646" w:rsidRPr="00544975" w:rsidRDefault="005D38AD" w:rsidP="00544975">
            <w:pPr>
              <w:ind w:left="252" w:right="0" w:firstLine="0"/>
              <w:jc w:val="center"/>
              <w:rPr>
                <w:bCs/>
              </w:rPr>
            </w:pPr>
            <w:r w:rsidRPr="00544975">
              <w:rPr>
                <w:bCs/>
              </w:rPr>
              <w:t xml:space="preserve">Judge </w:t>
            </w:r>
            <w:r w:rsidR="005F4A84">
              <w:rPr>
                <w:bCs/>
              </w:rPr>
              <w:t>XXXXX</w:t>
            </w:r>
          </w:p>
        </w:tc>
      </w:tr>
    </w:tbl>
    <w:p w14:paraId="5B488E6C" w14:textId="77777777" w:rsidR="00BD02A9" w:rsidRDefault="00BD02A9" w:rsidP="00BD02A9">
      <w:pPr>
        <w:spacing w:after="0"/>
        <w:ind w:left="0" w:right="0" w:firstLine="0"/>
        <w:jc w:val="both"/>
      </w:pPr>
    </w:p>
    <w:p w14:paraId="06EB7BD7" w14:textId="608CDF82" w:rsidR="00B1401D" w:rsidRDefault="00751315" w:rsidP="00F3116D">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after="0" w:line="480" w:lineRule="auto"/>
        <w:ind w:left="0" w:right="0" w:firstLine="720"/>
        <w:jc w:val="both"/>
        <w:rPr>
          <w:szCs w:val="24"/>
        </w:rPr>
      </w:pPr>
      <w:bookmarkStart w:id="2" w:name="_Hlk35779830"/>
      <w:r w:rsidRPr="004512F8">
        <w:rPr>
          <w:szCs w:val="24"/>
        </w:rPr>
        <w:t xml:space="preserve">Defendant </w:t>
      </w:r>
      <w:r w:rsidR="005F4A84">
        <w:rPr>
          <w:szCs w:val="24"/>
        </w:rPr>
        <w:t>JANE DOE</w:t>
      </w:r>
      <w:r w:rsidR="000E71BC" w:rsidRPr="004512F8">
        <w:rPr>
          <w:szCs w:val="24"/>
        </w:rPr>
        <w:t xml:space="preserve"> (“M</w:t>
      </w:r>
      <w:r w:rsidR="000E71BC">
        <w:rPr>
          <w:szCs w:val="24"/>
        </w:rPr>
        <w:t>s</w:t>
      </w:r>
      <w:r w:rsidR="000E71BC" w:rsidRPr="004512F8">
        <w:rPr>
          <w:szCs w:val="24"/>
        </w:rPr>
        <w:t>.</w:t>
      </w:r>
      <w:r w:rsidR="000E71BC">
        <w:rPr>
          <w:szCs w:val="24"/>
        </w:rPr>
        <w:t xml:space="preserve"> </w:t>
      </w:r>
      <w:r w:rsidR="005F4A84">
        <w:rPr>
          <w:szCs w:val="24"/>
        </w:rPr>
        <w:t>Doe</w:t>
      </w:r>
      <w:r w:rsidR="000E71BC" w:rsidRPr="004512F8">
        <w:rPr>
          <w:szCs w:val="24"/>
        </w:rPr>
        <w:t>”)</w:t>
      </w:r>
      <w:r w:rsidRPr="004512F8">
        <w:rPr>
          <w:szCs w:val="24"/>
        </w:rPr>
        <w:t>, by and through h</w:t>
      </w:r>
      <w:r w:rsidR="000E71BC">
        <w:rPr>
          <w:szCs w:val="24"/>
        </w:rPr>
        <w:t>er</w:t>
      </w:r>
      <w:r w:rsidRPr="004512F8">
        <w:rPr>
          <w:szCs w:val="24"/>
        </w:rPr>
        <w:t xml:space="preserve"> attorney of record, BENJAMIN R. ALDANA, hereby </w:t>
      </w:r>
      <w:r w:rsidR="00F3116D">
        <w:rPr>
          <w:szCs w:val="24"/>
        </w:rPr>
        <w:t xml:space="preserve">replies to the Division’s Memorandum Opposing Defendant’s Motion for Court Order for DCFS Records Pursuant to the Government Records Access Management Act (“DCFS’s Opposition”).  </w:t>
      </w:r>
      <w:r w:rsidRPr="004512F8">
        <w:rPr>
          <w:szCs w:val="24"/>
        </w:rPr>
        <w:t xml:space="preserve"> </w:t>
      </w:r>
      <w:bookmarkEnd w:id="2"/>
    </w:p>
    <w:p w14:paraId="5A3670B3" w14:textId="5D32B326" w:rsidR="00F3116D" w:rsidRDefault="00F3116D" w:rsidP="00F3116D">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after="0" w:line="480" w:lineRule="auto"/>
        <w:ind w:left="0" w:right="0" w:firstLine="720"/>
        <w:jc w:val="both"/>
        <w:rPr>
          <w:szCs w:val="24"/>
        </w:rPr>
      </w:pPr>
      <w:r>
        <w:rPr>
          <w:szCs w:val="24"/>
        </w:rPr>
        <w:t xml:space="preserve">On </w:t>
      </w:r>
      <w:r w:rsidR="000E71BC">
        <w:rPr>
          <w:szCs w:val="24"/>
        </w:rPr>
        <w:t>June 29</w:t>
      </w:r>
      <w:r>
        <w:rPr>
          <w:szCs w:val="24"/>
        </w:rPr>
        <w:t>, 2021, M</w:t>
      </w:r>
      <w:r w:rsidR="000E71BC">
        <w:rPr>
          <w:szCs w:val="24"/>
        </w:rPr>
        <w:t>s</w:t>
      </w:r>
      <w:r>
        <w:rPr>
          <w:szCs w:val="24"/>
        </w:rPr>
        <w:t xml:space="preserve">. </w:t>
      </w:r>
      <w:r w:rsidR="005F4A84">
        <w:rPr>
          <w:szCs w:val="24"/>
        </w:rPr>
        <w:t>Doe</w:t>
      </w:r>
      <w:r>
        <w:rPr>
          <w:szCs w:val="24"/>
        </w:rPr>
        <w:t xml:space="preserve"> filed </w:t>
      </w:r>
      <w:r w:rsidR="000E71BC">
        <w:rPr>
          <w:szCs w:val="24"/>
        </w:rPr>
        <w:t>a</w:t>
      </w:r>
      <w:r>
        <w:rPr>
          <w:szCs w:val="24"/>
        </w:rPr>
        <w:t xml:space="preserve"> Motion for Court Order to Obtain DCFS Records Pursuant to the </w:t>
      </w:r>
      <w:r w:rsidR="000E71BC">
        <w:rPr>
          <w:szCs w:val="24"/>
        </w:rPr>
        <w:t>GRAMA</w:t>
      </w:r>
      <w:r>
        <w:rPr>
          <w:szCs w:val="24"/>
        </w:rPr>
        <w:t xml:space="preserve"> (“M</w:t>
      </w:r>
      <w:r w:rsidR="000E71BC">
        <w:rPr>
          <w:szCs w:val="24"/>
        </w:rPr>
        <w:t>s</w:t>
      </w:r>
      <w:r>
        <w:rPr>
          <w:szCs w:val="24"/>
        </w:rPr>
        <w:t xml:space="preserve">. </w:t>
      </w:r>
      <w:r w:rsidR="005F4A84">
        <w:rPr>
          <w:szCs w:val="24"/>
        </w:rPr>
        <w:t>Doe</w:t>
      </w:r>
      <w:r w:rsidR="000E71BC">
        <w:rPr>
          <w:szCs w:val="24"/>
        </w:rPr>
        <w:t>’s</w:t>
      </w:r>
      <w:r>
        <w:rPr>
          <w:szCs w:val="24"/>
        </w:rPr>
        <w:t xml:space="preserve"> Motion”).  </w:t>
      </w:r>
      <w:r w:rsidR="004763DC">
        <w:rPr>
          <w:szCs w:val="24"/>
        </w:rPr>
        <w:t xml:space="preserve">On </w:t>
      </w:r>
      <w:r w:rsidR="000E71BC">
        <w:rPr>
          <w:szCs w:val="24"/>
        </w:rPr>
        <w:t>July 12</w:t>
      </w:r>
      <w:r w:rsidR="004763DC">
        <w:rPr>
          <w:szCs w:val="24"/>
        </w:rPr>
        <w:t xml:space="preserve">, 2021, </w:t>
      </w:r>
      <w:r>
        <w:rPr>
          <w:szCs w:val="24"/>
        </w:rPr>
        <w:t>DCFS’s Opposition was filed</w:t>
      </w:r>
      <w:r w:rsidR="009668F8">
        <w:rPr>
          <w:szCs w:val="24"/>
        </w:rPr>
        <w:t>.  The following is M</w:t>
      </w:r>
      <w:r w:rsidR="000E71BC">
        <w:rPr>
          <w:szCs w:val="24"/>
        </w:rPr>
        <w:t>s</w:t>
      </w:r>
      <w:r w:rsidR="009668F8">
        <w:rPr>
          <w:szCs w:val="24"/>
        </w:rPr>
        <w:t xml:space="preserve">. </w:t>
      </w:r>
      <w:r w:rsidR="005F4A84">
        <w:rPr>
          <w:szCs w:val="24"/>
        </w:rPr>
        <w:t>Doe</w:t>
      </w:r>
      <w:r w:rsidR="009668F8">
        <w:rPr>
          <w:szCs w:val="24"/>
        </w:rPr>
        <w:t xml:space="preserve">’s Reply to DCFS’s Opposition. </w:t>
      </w:r>
    </w:p>
    <w:p w14:paraId="6F61960F" w14:textId="0C5A7FE9" w:rsidR="004E79C0" w:rsidRDefault="006B2286" w:rsidP="000E71BC">
      <w:pPr>
        <w:pStyle w:val="NoSpacing"/>
        <w:spacing w:line="480" w:lineRule="auto"/>
        <w:ind w:left="0" w:right="0" w:firstLine="0"/>
        <w:jc w:val="both"/>
      </w:pPr>
      <w:r>
        <w:rPr>
          <w:rStyle w:val="Hyperlink"/>
          <w:color w:val="auto"/>
          <w:u w:val="none"/>
        </w:rPr>
        <w:tab/>
      </w:r>
      <w:r w:rsidR="009A4112">
        <w:t xml:space="preserve"> </w:t>
      </w:r>
      <w:r w:rsidR="009A4112">
        <w:tab/>
      </w:r>
      <w:r w:rsidR="004E79C0">
        <w:t xml:space="preserve"> </w:t>
      </w:r>
    </w:p>
    <w:p w14:paraId="3B67862F" w14:textId="77777777" w:rsidR="005F4A84" w:rsidRDefault="003D565F" w:rsidP="003D565F">
      <w:pPr>
        <w:spacing w:after="0" w:line="276" w:lineRule="auto"/>
        <w:ind w:left="0" w:right="0" w:firstLine="0"/>
        <w:jc w:val="center"/>
        <w:rPr>
          <w:b/>
          <w:bCs/>
        </w:rPr>
      </w:pPr>
      <w:r w:rsidRPr="00B14D98">
        <w:rPr>
          <w:b/>
          <w:bCs/>
        </w:rPr>
        <w:lastRenderedPageBreak/>
        <w:t>M</w:t>
      </w:r>
      <w:r w:rsidR="000E71BC">
        <w:rPr>
          <w:b/>
          <w:bCs/>
        </w:rPr>
        <w:t>S</w:t>
      </w:r>
      <w:r w:rsidRPr="00B14D98">
        <w:rPr>
          <w:b/>
          <w:bCs/>
        </w:rPr>
        <w:t xml:space="preserve">. </w:t>
      </w:r>
      <w:r w:rsidR="005F4A84">
        <w:rPr>
          <w:b/>
          <w:bCs/>
        </w:rPr>
        <w:t>DOE</w:t>
      </w:r>
      <w:r w:rsidRPr="00B14D98">
        <w:rPr>
          <w:b/>
          <w:bCs/>
        </w:rPr>
        <w:t xml:space="preserve">’S REQUEST FOR ACCESS TO THE RECORDS </w:t>
      </w:r>
      <w:r w:rsidR="000E71BC">
        <w:rPr>
          <w:b/>
          <w:bCs/>
        </w:rPr>
        <w:t>S</w:t>
      </w:r>
      <w:r w:rsidRPr="00B14D98">
        <w:rPr>
          <w:b/>
          <w:bCs/>
        </w:rPr>
        <w:t xml:space="preserve">HE SEEKS FROM </w:t>
      </w:r>
    </w:p>
    <w:p w14:paraId="75B40955" w14:textId="0D939B4F" w:rsidR="003D565F" w:rsidRPr="00B14D98" w:rsidRDefault="003D565F" w:rsidP="003D565F">
      <w:pPr>
        <w:spacing w:after="0" w:line="276" w:lineRule="auto"/>
        <w:ind w:left="0" w:right="0" w:firstLine="0"/>
        <w:jc w:val="center"/>
        <w:rPr>
          <w:b/>
          <w:bCs/>
        </w:rPr>
      </w:pPr>
      <w:r w:rsidRPr="00B14D98">
        <w:rPr>
          <w:b/>
          <w:bCs/>
        </w:rPr>
        <w:t>DCFS SHOULD BE GRANTED BECAUSE UTAH CODE §</w:t>
      </w:r>
      <w:r w:rsidR="005F4A84">
        <w:rPr>
          <w:b/>
          <w:bCs/>
        </w:rPr>
        <w:t xml:space="preserve"> </w:t>
      </w:r>
      <w:r w:rsidRPr="00B14D98">
        <w:rPr>
          <w:b/>
          <w:bCs/>
        </w:rPr>
        <w:t>63G-2-202(7)</w:t>
      </w:r>
    </w:p>
    <w:p w14:paraId="4EBD30BA" w14:textId="77777777" w:rsidR="003D565F" w:rsidRPr="00B14D98" w:rsidRDefault="003D565F" w:rsidP="003D565F">
      <w:pPr>
        <w:spacing w:after="0" w:line="276" w:lineRule="auto"/>
        <w:ind w:left="0" w:right="0" w:firstLine="0"/>
        <w:jc w:val="center"/>
        <w:rPr>
          <w:b/>
          <w:bCs/>
          <w:i/>
          <w:iCs/>
        </w:rPr>
      </w:pPr>
      <w:r w:rsidRPr="00B14D98">
        <w:rPr>
          <w:b/>
          <w:bCs/>
          <w:i/>
          <w:iCs/>
        </w:rPr>
        <w:t>—NOT RULE 14 OF THE UTAH RULES OF CRIMINAL PROCEDURE—</w:t>
      </w:r>
    </w:p>
    <w:p w14:paraId="5CB5F345" w14:textId="77777777" w:rsidR="00CE468F" w:rsidRDefault="003D565F" w:rsidP="003D565F">
      <w:pPr>
        <w:spacing w:after="0" w:line="276" w:lineRule="auto"/>
        <w:ind w:left="0" w:right="0" w:firstLine="0"/>
        <w:jc w:val="center"/>
        <w:rPr>
          <w:b/>
          <w:bCs/>
        </w:rPr>
      </w:pPr>
      <w:r w:rsidRPr="00B14D98">
        <w:rPr>
          <w:b/>
          <w:bCs/>
        </w:rPr>
        <w:t>GOVERNS ACCESS TO THE RECORDS</w:t>
      </w:r>
      <w:r w:rsidR="00CE468F">
        <w:rPr>
          <w:b/>
          <w:bCs/>
        </w:rPr>
        <w:t xml:space="preserve"> AND </w:t>
      </w:r>
      <w:r w:rsidR="00CE468F" w:rsidRPr="00CE468F">
        <w:rPr>
          <w:b/>
          <w:bCs/>
          <w:i/>
          <w:iCs/>
        </w:rPr>
        <w:t>IN CAMERA</w:t>
      </w:r>
      <w:r w:rsidR="00CE468F">
        <w:rPr>
          <w:b/>
          <w:bCs/>
        </w:rPr>
        <w:t xml:space="preserve"> </w:t>
      </w:r>
    </w:p>
    <w:p w14:paraId="1CAD921D" w14:textId="34A5EE5B" w:rsidR="004E79C0" w:rsidRPr="00B14D98" w:rsidRDefault="00CE468F" w:rsidP="003D565F">
      <w:pPr>
        <w:spacing w:after="0" w:line="276" w:lineRule="auto"/>
        <w:ind w:left="0" w:right="0" w:firstLine="0"/>
        <w:jc w:val="center"/>
        <w:rPr>
          <w:b/>
          <w:bCs/>
        </w:rPr>
      </w:pPr>
      <w:r>
        <w:rPr>
          <w:b/>
          <w:bCs/>
        </w:rPr>
        <w:t>REVIEW OF THE RECORDS IS NOT APPROPRIATE</w:t>
      </w:r>
    </w:p>
    <w:p w14:paraId="49CB20CD" w14:textId="77777777" w:rsidR="004E79C0" w:rsidRPr="006969B4" w:rsidRDefault="004E79C0" w:rsidP="007851CF">
      <w:pPr>
        <w:spacing w:after="0"/>
        <w:ind w:left="0" w:right="0" w:firstLine="0"/>
        <w:jc w:val="center"/>
        <w:rPr>
          <w:b/>
          <w:bCs/>
          <w:u w:val="single"/>
        </w:rPr>
      </w:pPr>
    </w:p>
    <w:p w14:paraId="6E24CC2E" w14:textId="7C082ECB" w:rsidR="003D565F" w:rsidRDefault="003D565F" w:rsidP="003D565F">
      <w:pPr>
        <w:spacing w:after="0" w:line="480" w:lineRule="auto"/>
        <w:ind w:left="0" w:right="0" w:firstLine="720"/>
        <w:jc w:val="both"/>
      </w:pPr>
      <w:r>
        <w:t>Unless “otherwise provided” for under Title 62A, Chapter 4a, the records sought in M</w:t>
      </w:r>
      <w:r w:rsidR="000E71BC">
        <w:t>s</w:t>
      </w:r>
      <w:r>
        <w:t xml:space="preserve">. </w:t>
      </w:r>
      <w:r w:rsidR="005F4A84">
        <w:t>Doe</w:t>
      </w:r>
      <w:r>
        <w:t xml:space="preserve">’s Motion are classified as private, protected, or controlled records under GRAMA.  </w:t>
      </w:r>
      <w:r w:rsidRPr="00C475AC">
        <w:rPr>
          <w:i/>
        </w:rPr>
        <w:t>See</w:t>
      </w:r>
      <w:r>
        <w:t xml:space="preserve"> §62A-4a-412 (stating that “[r]eports, information, and referrals” are confidential and classified as “private, protected, or controlled records” under GRAMA); </w:t>
      </w:r>
      <w:r w:rsidRPr="00FD5EB8">
        <w:rPr>
          <w:i/>
          <w:iCs/>
        </w:rPr>
        <w:t>see also</w:t>
      </w:r>
      <w:r>
        <w:t xml:space="preserve"> §62A-4a-1003(1)(b)(i) (explaining that DCFS’s records held within the “Management Information System” are “protected records”).  In other words, DCFS’s records are non-public records, and access to them is governed by GRAMA.  </w:t>
      </w:r>
    </w:p>
    <w:p w14:paraId="7275464E" w14:textId="2E95B0DD" w:rsidR="00CC05A8" w:rsidRDefault="003D565F" w:rsidP="003D565F">
      <w:pPr>
        <w:pStyle w:val="NoSpacing"/>
        <w:spacing w:line="480" w:lineRule="auto"/>
        <w:ind w:left="0" w:right="0" w:firstLine="720"/>
        <w:jc w:val="both"/>
      </w:pPr>
      <w:r>
        <w:t xml:space="preserve">Here, DCFS </w:t>
      </w:r>
      <w:r w:rsidR="00F03EAA">
        <w:t xml:space="preserve">makes the </w:t>
      </w:r>
      <w:r>
        <w:t>leap from “non-public” to “privileged” without providing a valid legal basis for the Court to do the same.  It</w:t>
      </w:r>
      <w:r w:rsidR="00F03EAA">
        <w:t xml:space="preserve"> is</w:t>
      </w:r>
      <w:r>
        <w:t xml:space="preserve"> true that DCFS’s records—as well as </w:t>
      </w:r>
      <w:r w:rsidRPr="00D04F22">
        <w:rPr>
          <w:i/>
          <w:iCs/>
        </w:rPr>
        <w:t>all</w:t>
      </w:r>
      <w:r>
        <w:t xml:space="preserve"> other records classified under GRAMA</w:t>
      </w:r>
      <w:r w:rsidR="00F03EAA">
        <w:t>, including police reports</w:t>
      </w:r>
      <w:r>
        <w:t xml:space="preserve">—are “privileged from discovery,” under GRAMA, “[u]ntil [a] court . . . orders disclosure.”  </w:t>
      </w:r>
      <w:r w:rsidRPr="00397912">
        <w:rPr>
          <w:i/>
          <w:iCs/>
        </w:rPr>
        <w:t xml:space="preserve">See </w:t>
      </w:r>
      <w:r>
        <w:t>§</w:t>
      </w:r>
      <w:r w:rsidR="005F4A84">
        <w:t xml:space="preserve"> </w:t>
      </w:r>
      <w:r>
        <w:t>63G-2-207(2)(a)(ii).  But §</w:t>
      </w:r>
      <w:r w:rsidR="005F4A84">
        <w:t xml:space="preserve"> </w:t>
      </w:r>
      <w:r>
        <w:t>63G-2-207 is nothing more than a shield from subpoenas until a court goes through the §</w:t>
      </w:r>
      <w:r w:rsidR="005F4A84">
        <w:t xml:space="preserve"> </w:t>
      </w:r>
      <w:r>
        <w:t>63G-2-202(7) analysis.  §</w:t>
      </w:r>
      <w:r w:rsidR="005F4A84">
        <w:t xml:space="preserve"> </w:t>
      </w:r>
      <w:r>
        <w:t>63G-2-207 is simply a gatekeeping tool to protect government agencies from being harassed</w:t>
      </w:r>
      <w:r w:rsidR="00F03EAA">
        <w:t xml:space="preserve"> by litigants in cases unrelated to the records sought</w:t>
      </w:r>
      <w:r>
        <w:t>, or from being required to comply with every subpoena they receive unless a “court has considered the merits of” a party’s “request for access to [a] record.”  §</w:t>
      </w:r>
      <w:r w:rsidR="005F4A84">
        <w:t xml:space="preserve"> </w:t>
      </w:r>
      <w:r>
        <w:t xml:space="preserve">63G-2-202(7)(b).  Once a court has considered the merits of a request for </w:t>
      </w:r>
      <w:r w:rsidR="004763DC">
        <w:t xml:space="preserve">access to </w:t>
      </w:r>
      <w:r>
        <w:t>records and concluded that “the interests favoring access” to “private, controlled, or protected” record</w:t>
      </w:r>
      <w:r w:rsidR="004763DC">
        <w:t>s</w:t>
      </w:r>
      <w:r>
        <w:t xml:space="preserve"> “are greater than or equal to the interests favoring restriction of access,” then issuing an order for disclosure of the record</w:t>
      </w:r>
      <w:r w:rsidR="004763DC">
        <w:t>s</w:t>
      </w:r>
      <w:r>
        <w:t xml:space="preserve"> is appropriate.  §</w:t>
      </w:r>
      <w:r w:rsidR="005F4A84">
        <w:t xml:space="preserve"> </w:t>
      </w:r>
      <w:r>
        <w:t>63G-2-202(7)(d).  Thus, if the Court orders disclosure of the records sought in M</w:t>
      </w:r>
      <w:r w:rsidR="000E71BC">
        <w:t>s</w:t>
      </w:r>
      <w:r>
        <w:t xml:space="preserve">. </w:t>
      </w:r>
      <w:r w:rsidR="005F4A84">
        <w:t>Doe</w:t>
      </w:r>
      <w:r>
        <w:t>’s Motion pursuant to §</w:t>
      </w:r>
      <w:r w:rsidR="005F4A84">
        <w:t xml:space="preserve"> </w:t>
      </w:r>
      <w:r>
        <w:lastRenderedPageBreak/>
        <w:t>63G-2-202(7), there is no valid privilege that DCFS can claim with respect to its records</w:t>
      </w:r>
      <w:r w:rsidR="001B0DEB">
        <w:t xml:space="preserve">.  Nothing in </w:t>
      </w:r>
      <w:r w:rsidR="00CE468F">
        <w:t>§</w:t>
      </w:r>
      <w:r w:rsidR="005F4A84">
        <w:t xml:space="preserve"> </w:t>
      </w:r>
      <w:r w:rsidR="00CE468F">
        <w:t>63G-2-202(7)</w:t>
      </w:r>
      <w:r w:rsidR="001B0DEB">
        <w:t xml:space="preserve"> permits an </w:t>
      </w:r>
      <w:r w:rsidR="001B0DEB" w:rsidRPr="001B0DEB">
        <w:rPr>
          <w:i/>
          <w:iCs/>
        </w:rPr>
        <w:t>in camera</w:t>
      </w:r>
      <w:r w:rsidR="001B0DEB">
        <w:t xml:space="preserve"> review of government records sought under §</w:t>
      </w:r>
      <w:r w:rsidR="005F4A84">
        <w:t xml:space="preserve"> </w:t>
      </w:r>
      <w:r w:rsidR="001B0DEB">
        <w:t xml:space="preserve">63G-2-202(7) because such a review is not necessary to making </w:t>
      </w:r>
      <w:r w:rsidR="004763DC">
        <w:t xml:space="preserve">the </w:t>
      </w:r>
      <w:r w:rsidR="001B0DEB">
        <w:t xml:space="preserve">required determination; the </w:t>
      </w:r>
      <w:r w:rsidR="004763DC">
        <w:t xml:space="preserve">main </w:t>
      </w:r>
      <w:r w:rsidR="001B0DEB">
        <w:t xml:space="preserve">analysis that is necessary </w:t>
      </w:r>
      <w:r w:rsidR="004763DC">
        <w:t>under §</w:t>
      </w:r>
      <w:r w:rsidR="005F4A84">
        <w:t xml:space="preserve"> </w:t>
      </w:r>
      <w:r w:rsidR="004763DC">
        <w:t xml:space="preserve">63G-2-202(7) </w:t>
      </w:r>
      <w:r w:rsidR="001B0DEB">
        <w:t xml:space="preserve">is whether “the </w:t>
      </w:r>
      <w:r w:rsidR="001B0DEB" w:rsidRPr="001B0DEB">
        <w:rPr>
          <w:i/>
          <w:iCs/>
        </w:rPr>
        <w:t>interests</w:t>
      </w:r>
      <w:r w:rsidR="001B0DEB">
        <w:t xml:space="preserve"> favoring access” to a “private, controlled, or protected” record “are greater than or equal to the </w:t>
      </w:r>
      <w:r w:rsidR="001B0DEB" w:rsidRPr="001B0DEB">
        <w:rPr>
          <w:i/>
          <w:iCs/>
        </w:rPr>
        <w:t>interests</w:t>
      </w:r>
      <w:r w:rsidR="001B0DEB">
        <w:t xml:space="preserve"> favoring restriction of access.”  §</w:t>
      </w:r>
      <w:r w:rsidR="005F4A84">
        <w:t xml:space="preserve"> </w:t>
      </w:r>
      <w:r w:rsidR="001B0DEB">
        <w:t xml:space="preserve">63G-2-202(7)(d) (emphasis added).  The </w:t>
      </w:r>
      <w:r w:rsidR="004763DC">
        <w:t>main</w:t>
      </w:r>
      <w:r w:rsidR="001B0DEB">
        <w:t xml:space="preserve"> things to be considered are the competing </w:t>
      </w:r>
      <w:r w:rsidR="001B0DEB" w:rsidRPr="001B0DEB">
        <w:rPr>
          <w:i/>
          <w:iCs/>
        </w:rPr>
        <w:t>interests</w:t>
      </w:r>
      <w:r w:rsidR="001B0DEB">
        <w:t xml:space="preserve"> involved</w:t>
      </w:r>
      <w:r w:rsidR="00CE468F">
        <w:t xml:space="preserve">, rather than </w:t>
      </w:r>
      <w:r w:rsidR="001B0DEB">
        <w:t xml:space="preserve">the </w:t>
      </w:r>
      <w:r w:rsidR="001B0DEB" w:rsidRPr="001B0DEB">
        <w:rPr>
          <w:i/>
          <w:iCs/>
        </w:rPr>
        <w:t xml:space="preserve">content </w:t>
      </w:r>
      <w:r w:rsidR="001B0DEB">
        <w:t>of the government records</w:t>
      </w:r>
      <w:r w:rsidR="00CE468F">
        <w:t xml:space="preserve"> being sought</w:t>
      </w:r>
      <w:r w:rsidR="001B0DEB">
        <w:t xml:space="preserve">. </w:t>
      </w:r>
      <w:r w:rsidR="00CE468F">
        <w:t xml:space="preserve"> Simply put, once information is put into a government record—even if that information was at some point privileged—it is no</w:t>
      </w:r>
      <w:r w:rsidR="004763DC">
        <w:t xml:space="preserve"> longer</w:t>
      </w:r>
      <w:r w:rsidR="00CE468F">
        <w:t xml:space="preserve"> privileged.  It is classified under GRAMA.  And access to that information is then governed by GRAMA.</w:t>
      </w:r>
      <w:r w:rsidR="00CC05A8">
        <w:t xml:space="preserve">  </w:t>
      </w:r>
    </w:p>
    <w:p w14:paraId="2B29A076" w14:textId="3FAED5D8" w:rsidR="003D565F" w:rsidRDefault="00CC05A8" w:rsidP="003D565F">
      <w:pPr>
        <w:pStyle w:val="NoSpacing"/>
        <w:spacing w:line="480" w:lineRule="auto"/>
        <w:ind w:left="0" w:right="0" w:firstLine="720"/>
        <w:jc w:val="both"/>
      </w:pPr>
      <w:r>
        <w:t xml:space="preserve">Ms. </w:t>
      </w:r>
      <w:r w:rsidR="005F4A84">
        <w:t>Doe</w:t>
      </w:r>
      <w:r>
        <w:t xml:space="preserve"> concedes that the privacy interests involved in a record classified under GRAMA may vary depending on the precise content of the particular record.  Thus, in certain cases</w:t>
      </w:r>
      <w:r w:rsidR="00496A20">
        <w:t>,</w:t>
      </w:r>
      <w:r>
        <w:t xml:space="preserve"> </w:t>
      </w:r>
      <w:r w:rsidRPr="00CC05A8">
        <w:rPr>
          <w:i/>
          <w:iCs/>
        </w:rPr>
        <w:t>in camera</w:t>
      </w:r>
      <w:r>
        <w:t xml:space="preserve"> review of records in dispute may be necessary before a court can engage in a proper analysis under §</w:t>
      </w:r>
      <w:r w:rsidR="005F4A84">
        <w:t xml:space="preserve"> </w:t>
      </w:r>
      <w:r>
        <w:t xml:space="preserve">63G-2-202(7).  But this is not such a case.  This case involves </w:t>
      </w:r>
      <w:r w:rsidR="00147C9A">
        <w:t xml:space="preserve">an </w:t>
      </w:r>
      <w:r>
        <w:t xml:space="preserve">allegation of class A misdemeanor child abuse.  Ms. </w:t>
      </w:r>
      <w:r w:rsidR="005F4A84">
        <w:t>Doe</w:t>
      </w:r>
      <w:r>
        <w:t xml:space="preserve"> had custody of the Alleged Victim for several years prior to the allegation in this case being made.  And even if Ms. </w:t>
      </w:r>
      <w:r w:rsidR="005F4A84">
        <w:t>Doe</w:t>
      </w:r>
      <w:r>
        <w:t xml:space="preserve"> is convicted of what she has been accused of in this case, if Ms. </w:t>
      </w:r>
      <w:r w:rsidR="005F4A84">
        <w:t>Doe</w:t>
      </w:r>
      <w:r>
        <w:t xml:space="preserve"> complies with whatever condition(s) are ordered by the Court as a result of the conviction, she will eventually regain custody of the Alleged Victim, which will likely provide Ms. </w:t>
      </w:r>
      <w:r w:rsidR="005F4A84">
        <w:t>Doe</w:t>
      </w:r>
      <w:r>
        <w:t xml:space="preserve"> with the ability to gain unfettered access to the records at issue in this Motion.  Additionally, it is likely that the “medical” information referenced in DCFS’s Opposition has already been turned over as discovery, given the fact that the allegation in this case is that Ms. </w:t>
      </w:r>
      <w:r w:rsidR="005F4A84">
        <w:t>Doe</w:t>
      </w:r>
      <w:r>
        <w:t xml:space="preserve"> physically abused the Alleged Victim, after which a medical examination of the Alleged Victim was performed.  </w:t>
      </w:r>
      <w:r w:rsidRPr="00CC05A8">
        <w:rPr>
          <w:i/>
          <w:iCs/>
        </w:rPr>
        <w:t>See DCFS’s Opposition</w:t>
      </w:r>
      <w:r>
        <w:t xml:space="preserve">, at 5.  </w:t>
      </w:r>
    </w:p>
    <w:p w14:paraId="52E47B7C" w14:textId="679452BF" w:rsidR="007851CF" w:rsidRDefault="003D565F" w:rsidP="007851CF">
      <w:pPr>
        <w:spacing w:after="0" w:line="480" w:lineRule="auto"/>
        <w:ind w:left="0" w:right="0" w:firstLine="720"/>
        <w:jc w:val="both"/>
      </w:pPr>
      <w:r>
        <w:lastRenderedPageBreak/>
        <w:t>Given the explicit classification of the records that M</w:t>
      </w:r>
      <w:r w:rsidR="000E71BC">
        <w:t>s</w:t>
      </w:r>
      <w:r>
        <w:t xml:space="preserve">. </w:t>
      </w:r>
      <w:r w:rsidR="005F4A84">
        <w:t>Doe</w:t>
      </w:r>
      <w:r>
        <w:t xml:space="preserve"> seeks as being “private, protected, or controlled records,” </w:t>
      </w:r>
      <w:r w:rsidRPr="002E7E6E">
        <w:rPr>
          <w:i/>
          <w:iCs/>
        </w:rPr>
        <w:t>see</w:t>
      </w:r>
      <w:r>
        <w:t xml:space="preserve"> §</w:t>
      </w:r>
      <w:r w:rsidR="005F4A84">
        <w:t xml:space="preserve"> </w:t>
      </w:r>
      <w:r>
        <w:t>62A-4a-412, access to the records is clearly governed by GRAMA, not Rule 14.  And because M</w:t>
      </w:r>
      <w:r w:rsidR="000E71BC">
        <w:t>s</w:t>
      </w:r>
      <w:r>
        <w:t xml:space="preserve">. </w:t>
      </w:r>
      <w:r w:rsidR="005F4A84">
        <w:t>Doe</w:t>
      </w:r>
      <w:r>
        <w:t xml:space="preserve"> is explicitly listed in listed in §</w:t>
      </w:r>
      <w:r w:rsidR="005F4A84">
        <w:t xml:space="preserve"> </w:t>
      </w:r>
      <w:r>
        <w:t>62A-4a-412(1)</w:t>
      </w:r>
      <w:r w:rsidR="001B0DEB">
        <w:rPr>
          <w:rStyle w:val="FootnoteReference"/>
        </w:rPr>
        <w:footnoteReference w:id="1"/>
      </w:r>
      <w:r w:rsidR="00CE468F">
        <w:t xml:space="preserve"> as a person who may have access to the records,</w:t>
      </w:r>
      <w:r>
        <w:t xml:space="preserve"> but DCFS has nevertheless refused to provide them,</w:t>
      </w:r>
      <w:r w:rsidR="000E71BC">
        <w:rPr>
          <w:rStyle w:val="FootnoteReference"/>
        </w:rPr>
        <w:footnoteReference w:id="2"/>
      </w:r>
      <w:r>
        <w:t xml:space="preserve"> a court order issued under §</w:t>
      </w:r>
      <w:r w:rsidR="005F4A84">
        <w:t xml:space="preserve"> </w:t>
      </w:r>
      <w:r>
        <w:t>63G-2-202(7) is the only way in which M</w:t>
      </w:r>
      <w:r w:rsidR="000E71BC">
        <w:t>s</w:t>
      </w:r>
      <w:r>
        <w:t xml:space="preserve">. </w:t>
      </w:r>
      <w:r w:rsidR="005F4A84">
        <w:t>Doe</w:t>
      </w:r>
      <w:r>
        <w:t xml:space="preserve"> will gain access to those records.</w:t>
      </w:r>
      <w:r w:rsidR="007851CF">
        <w:t xml:space="preserve">  </w:t>
      </w:r>
      <w:r>
        <w:t xml:space="preserve">Under </w:t>
      </w:r>
      <w:r w:rsidR="00CE468F">
        <w:t xml:space="preserve">the logic provided in </w:t>
      </w:r>
      <w:r>
        <w:t xml:space="preserve">DCFS’s </w:t>
      </w:r>
      <w:r w:rsidR="00CE468F">
        <w:t>Opposition</w:t>
      </w:r>
      <w:r>
        <w:t xml:space="preserve">, </w:t>
      </w:r>
      <w:r w:rsidRPr="00A524C9">
        <w:rPr>
          <w:i/>
          <w:iCs/>
        </w:rPr>
        <w:t>every government record</w:t>
      </w:r>
      <w:r>
        <w:t xml:space="preserve"> containing any information regarding a victim or an alleged victim of a crime—even a police report—would become a “privileged” </w:t>
      </w:r>
      <w:r w:rsidR="00CE468F">
        <w:t>record</w:t>
      </w:r>
      <w:r w:rsidR="007851CF">
        <w:t>,</w:t>
      </w:r>
      <w:r w:rsidR="00CE468F">
        <w:t xml:space="preserve"> </w:t>
      </w:r>
      <w:r>
        <w:t xml:space="preserve">simply because </w:t>
      </w:r>
      <w:r w:rsidR="002E1BD5">
        <w:t>they</w:t>
      </w:r>
      <w:r>
        <w:t xml:space="preserve"> are non-public </w:t>
      </w:r>
      <w:r w:rsidR="002E1BD5">
        <w:t xml:space="preserve">records </w:t>
      </w:r>
      <w:r>
        <w:t>classified under GRAMA</w:t>
      </w:r>
      <w:r w:rsidR="002E1BD5">
        <w:t>, which would make them inaccessible unless the Rule 14 burden could be met</w:t>
      </w:r>
      <w:r>
        <w:t>.  This cannot be the case</w:t>
      </w:r>
      <w:r w:rsidR="000E71BC">
        <w:t xml:space="preserve">.  GRAMA governs—not Rule 14. </w:t>
      </w:r>
      <w:r>
        <w:t xml:space="preserve"> </w:t>
      </w:r>
    </w:p>
    <w:p w14:paraId="7DD6CA2D" w14:textId="29089576" w:rsidR="007851CF" w:rsidRDefault="007851CF" w:rsidP="007851CF">
      <w:pPr>
        <w:spacing w:after="0" w:line="480" w:lineRule="auto"/>
        <w:ind w:left="0" w:right="0" w:firstLine="720"/>
        <w:jc w:val="both"/>
      </w:pPr>
      <w:r>
        <w:t>Aside from the fact that GRAMA clearly governs access to the records sought in M</w:t>
      </w:r>
      <w:r w:rsidR="000E71BC">
        <w:t>s</w:t>
      </w:r>
      <w:r>
        <w:t xml:space="preserve">. </w:t>
      </w:r>
      <w:r w:rsidR="005F4A84">
        <w:t>Doe</w:t>
      </w:r>
      <w:r w:rsidR="000E71BC">
        <w:t>’s Motion</w:t>
      </w:r>
      <w:r w:rsidR="0059791F">
        <w:t>,</w:t>
      </w:r>
      <w:r w:rsidR="000E71BC">
        <w:t xml:space="preserve"> Rule 14 pe</w:t>
      </w:r>
      <w:r>
        <w:t xml:space="preserve">rtains only to </w:t>
      </w:r>
      <w:r>
        <w:rPr>
          <w:i/>
          <w:iCs/>
        </w:rPr>
        <w:t xml:space="preserve">privileged </w:t>
      </w:r>
      <w:r w:rsidRPr="003D565F">
        <w:t>records.</w:t>
      </w:r>
      <w:r>
        <w:t xml:space="preserve">  </w:t>
      </w:r>
      <w:r w:rsidR="002E1BD5">
        <w:t>And a</w:t>
      </w:r>
      <w:r>
        <w:t>s explained above, no privileged records are at issue; DCFS’s records do not become “privileged” simply because they are private, protected, or controlled records.  Nor do government records classified under GRAMA—like DCFS records—become privileged by virtue of the fact that they m</w:t>
      </w:r>
      <w:r w:rsidR="002E1BD5">
        <w:t xml:space="preserve">ight </w:t>
      </w:r>
      <w:r>
        <w:t xml:space="preserve">contain information </w:t>
      </w:r>
      <w:r w:rsidR="002E1BD5">
        <w:t xml:space="preserve">which at some point may have been privileged, but for the fact that the information has been furnished </w:t>
      </w:r>
      <w:r>
        <w:t>to the governme</w:t>
      </w:r>
      <w:r w:rsidR="0059791F">
        <w:t xml:space="preserve">nt.  </w:t>
      </w:r>
      <w:r w:rsidR="003D565F">
        <w:t>§</w:t>
      </w:r>
      <w:r w:rsidR="005F4A84">
        <w:t xml:space="preserve"> </w:t>
      </w:r>
      <w:r w:rsidR="003D565F">
        <w:t xml:space="preserve">63G-2-202(7) provides the appropriate process by which a party to a </w:t>
      </w:r>
      <w:r w:rsidR="002E1BD5">
        <w:t>judicial</w:t>
      </w:r>
      <w:r w:rsidR="003D565F">
        <w:t xml:space="preserve"> proceeding may request and obtain private, protected, or controlled government records—including DCFS records.  And </w:t>
      </w:r>
      <w:r>
        <w:t>§</w:t>
      </w:r>
      <w:r w:rsidR="005F4A84">
        <w:t xml:space="preserve"> </w:t>
      </w:r>
      <w:r>
        <w:t>63G-2-202(7)(c)</w:t>
      </w:r>
      <w:r w:rsidR="003D565F">
        <w:t xml:space="preserve"> allows the Court to put safeguards in place to prevent any </w:t>
      </w:r>
      <w:r w:rsidR="002E1BD5">
        <w:t xml:space="preserve">inappropriate </w:t>
      </w:r>
      <w:r w:rsidR="003D565F">
        <w:t>use of the records.</w:t>
      </w:r>
      <w:r>
        <w:t xml:space="preserve">  </w:t>
      </w:r>
    </w:p>
    <w:p w14:paraId="147AB5CD" w14:textId="6F7514B9" w:rsidR="003D565F" w:rsidRPr="00CE468F" w:rsidRDefault="007851CF" w:rsidP="003D565F">
      <w:pPr>
        <w:spacing w:after="0" w:line="276" w:lineRule="auto"/>
        <w:ind w:left="0" w:right="0" w:firstLine="0"/>
        <w:jc w:val="center"/>
        <w:rPr>
          <w:b/>
          <w:bCs/>
        </w:rPr>
      </w:pPr>
      <w:r>
        <w:rPr>
          <w:b/>
          <w:bCs/>
        </w:rPr>
        <w:lastRenderedPageBreak/>
        <w:t xml:space="preserve">BECAUSE </w:t>
      </w:r>
      <w:r w:rsidR="003D565F" w:rsidRPr="00CE468F">
        <w:rPr>
          <w:b/>
          <w:bCs/>
        </w:rPr>
        <w:t>RULE 14 IS NOT RELEVANT TO THE WAY IN WHICH M</w:t>
      </w:r>
      <w:r w:rsidR="000E71BC">
        <w:rPr>
          <w:b/>
          <w:bCs/>
        </w:rPr>
        <w:t>S</w:t>
      </w:r>
      <w:r w:rsidR="003D565F" w:rsidRPr="00CE468F">
        <w:rPr>
          <w:b/>
          <w:bCs/>
        </w:rPr>
        <w:t xml:space="preserve">. </w:t>
      </w:r>
      <w:r w:rsidR="005F4A84">
        <w:rPr>
          <w:b/>
          <w:bCs/>
        </w:rPr>
        <w:t>DOE</w:t>
      </w:r>
      <w:r w:rsidR="003D565F" w:rsidRPr="00CE468F">
        <w:rPr>
          <w:b/>
          <w:bCs/>
        </w:rPr>
        <w:t xml:space="preserve"> </w:t>
      </w:r>
    </w:p>
    <w:p w14:paraId="31FA46CB" w14:textId="77777777" w:rsidR="005F4A84" w:rsidRDefault="003D565F" w:rsidP="003D565F">
      <w:pPr>
        <w:spacing w:after="0" w:line="276" w:lineRule="auto"/>
        <w:ind w:left="0" w:right="0" w:firstLine="0"/>
        <w:jc w:val="center"/>
        <w:rPr>
          <w:b/>
          <w:bCs/>
        </w:rPr>
      </w:pPr>
      <w:r w:rsidRPr="00CE468F">
        <w:rPr>
          <w:b/>
          <w:bCs/>
        </w:rPr>
        <w:t>IS REQUIRED TO OBTAIN THE RECORDS AT ISSUE IN H</w:t>
      </w:r>
      <w:r w:rsidR="000E71BC">
        <w:rPr>
          <w:b/>
          <w:bCs/>
        </w:rPr>
        <w:t>ER MOTION</w:t>
      </w:r>
      <w:r w:rsidRPr="00CE468F">
        <w:rPr>
          <w:b/>
          <w:bCs/>
        </w:rPr>
        <w:t xml:space="preserve"> </w:t>
      </w:r>
    </w:p>
    <w:p w14:paraId="46EA044D" w14:textId="495A8DAF" w:rsidR="000E71BC" w:rsidRDefault="003D565F" w:rsidP="003D565F">
      <w:pPr>
        <w:spacing w:after="0" w:line="276" w:lineRule="auto"/>
        <w:ind w:left="0" w:right="0" w:firstLine="0"/>
        <w:jc w:val="center"/>
        <w:rPr>
          <w:b/>
          <w:bCs/>
        </w:rPr>
      </w:pPr>
      <w:r w:rsidRPr="00CE468F">
        <w:rPr>
          <w:b/>
          <w:bCs/>
        </w:rPr>
        <w:t xml:space="preserve">THE ALLEGED VICTIM DOES NOT HAVE A RIGHT TO BE HEARD </w:t>
      </w:r>
    </w:p>
    <w:p w14:paraId="281198B7" w14:textId="61D52510" w:rsidR="003D565F" w:rsidRPr="00CE468F" w:rsidRDefault="003D565F" w:rsidP="003D565F">
      <w:pPr>
        <w:spacing w:after="0" w:line="276" w:lineRule="auto"/>
        <w:ind w:left="0" w:right="0" w:firstLine="0"/>
        <w:jc w:val="center"/>
        <w:rPr>
          <w:b/>
          <w:bCs/>
        </w:rPr>
      </w:pPr>
      <w:r w:rsidRPr="00CE468F">
        <w:rPr>
          <w:b/>
          <w:bCs/>
        </w:rPr>
        <w:t>WITH RESPECT TO M</w:t>
      </w:r>
      <w:r w:rsidR="000E71BC">
        <w:rPr>
          <w:b/>
          <w:bCs/>
        </w:rPr>
        <w:t>S</w:t>
      </w:r>
      <w:r w:rsidRPr="00CE468F">
        <w:rPr>
          <w:b/>
          <w:bCs/>
        </w:rPr>
        <w:t xml:space="preserve">. </w:t>
      </w:r>
      <w:r w:rsidR="005F4A84">
        <w:rPr>
          <w:b/>
          <w:bCs/>
        </w:rPr>
        <w:t>DOE</w:t>
      </w:r>
      <w:r w:rsidRPr="00CE468F">
        <w:rPr>
          <w:b/>
          <w:bCs/>
        </w:rPr>
        <w:t>’S MOTION</w:t>
      </w:r>
    </w:p>
    <w:p w14:paraId="461C72A1" w14:textId="77777777" w:rsidR="003D565F" w:rsidRPr="006969B4" w:rsidRDefault="003D565F" w:rsidP="003D565F">
      <w:pPr>
        <w:spacing w:after="0" w:line="276" w:lineRule="auto"/>
        <w:ind w:left="0" w:right="0" w:firstLine="0"/>
        <w:jc w:val="center"/>
        <w:rPr>
          <w:b/>
          <w:bCs/>
          <w:u w:val="single"/>
        </w:rPr>
      </w:pPr>
    </w:p>
    <w:p w14:paraId="0D5986A3" w14:textId="111A6097" w:rsidR="00A90D27" w:rsidRDefault="00A90D27" w:rsidP="00A90D27">
      <w:pPr>
        <w:spacing w:after="0" w:line="480" w:lineRule="auto"/>
        <w:ind w:left="0" w:right="0" w:firstLine="720"/>
        <w:jc w:val="both"/>
      </w:pPr>
      <w:r>
        <w:t xml:space="preserve">With respect to the argument made on pages </w:t>
      </w:r>
      <w:r w:rsidR="000E71BC">
        <w:t>5</w:t>
      </w:r>
      <w:r>
        <w:t>–</w:t>
      </w:r>
      <w:r w:rsidR="000E71BC">
        <w:t>6</w:t>
      </w:r>
      <w:r>
        <w:t xml:space="preserve"> of DCFS’s Opposition, DCFS seems to be presuming that M</w:t>
      </w:r>
      <w:r w:rsidR="000E71BC">
        <w:t>s</w:t>
      </w:r>
      <w:r>
        <w:t xml:space="preserve">. </w:t>
      </w:r>
      <w:r w:rsidR="005F4A84">
        <w:t>Doe</w:t>
      </w:r>
      <w:r>
        <w:t xml:space="preserve"> is seeking the records at issue in in h</w:t>
      </w:r>
      <w:r w:rsidR="000E71BC">
        <w:t>er</w:t>
      </w:r>
      <w:r>
        <w:t xml:space="preserve"> Motion for confrontation purposes.  </w:t>
      </w:r>
      <w:r w:rsidRPr="00EF3805">
        <w:rPr>
          <w:i/>
          <w:iCs/>
        </w:rPr>
        <w:t>See DCFS’s Opposition</w:t>
      </w:r>
      <w:r>
        <w:t xml:space="preserve">, at </w:t>
      </w:r>
      <w:r w:rsidR="000E71BC">
        <w:t>5–6 (“a defendant’s Sixth Amendment right to confront</w:t>
      </w:r>
      <w:r w:rsidR="0059791F">
        <w:t xml:space="preserve"> </w:t>
      </w:r>
      <w:r w:rsidR="000E71BC">
        <w:t>. . . ‘is not without limitation’”)</w:t>
      </w:r>
      <w:r>
        <w:t xml:space="preserve">.  Perhaps </w:t>
      </w:r>
      <w:r w:rsidR="000E71BC">
        <w:t>con</w:t>
      </w:r>
      <w:r w:rsidR="0059791F">
        <w:t>frontation</w:t>
      </w:r>
      <w:r>
        <w:t xml:space="preserve"> will end up being one of the uses of those records.  But that is not why they have been sought.  As stated in M</w:t>
      </w:r>
      <w:r w:rsidR="0059791F">
        <w:t>s</w:t>
      </w:r>
      <w:r>
        <w:t xml:space="preserve">. </w:t>
      </w:r>
      <w:r w:rsidR="005F4A84">
        <w:t>Doe</w:t>
      </w:r>
      <w:r>
        <w:t>’s Motion, the records are being sought because M</w:t>
      </w:r>
      <w:r w:rsidR="0059791F">
        <w:t>s</w:t>
      </w:r>
      <w:r>
        <w:t xml:space="preserve">. </w:t>
      </w:r>
      <w:r w:rsidR="005F4A84">
        <w:t>Doe</w:t>
      </w:r>
      <w:r w:rsidR="0059791F">
        <w:t xml:space="preserve"> </w:t>
      </w:r>
      <w:r>
        <w:t>has the right to have h</w:t>
      </w:r>
      <w:r w:rsidR="0059791F">
        <w:t>er</w:t>
      </w:r>
      <w:r>
        <w:t xml:space="preserve"> attorney “adequately investigate the underlying facts of [h</w:t>
      </w:r>
      <w:r w:rsidR="00C84C7B">
        <w:t>er</w:t>
      </w:r>
      <w:r>
        <w:t xml:space="preserve">] case.”  </w:t>
      </w:r>
      <w:r w:rsidRPr="00EF3805">
        <w:rPr>
          <w:i/>
          <w:iCs/>
        </w:rPr>
        <w:t>State v. Templin</w:t>
      </w:r>
      <w:r>
        <w:t xml:space="preserve">, 805 P.2d 182, 188 (Utah 1990); </w:t>
      </w:r>
      <w:r w:rsidRPr="00B233E3">
        <w:rPr>
          <w:i/>
          <w:iCs/>
        </w:rPr>
        <w:t>see M</w:t>
      </w:r>
      <w:r w:rsidR="0059791F">
        <w:rPr>
          <w:i/>
          <w:iCs/>
        </w:rPr>
        <w:t>s</w:t>
      </w:r>
      <w:r w:rsidRPr="00B233E3">
        <w:rPr>
          <w:i/>
          <w:iCs/>
        </w:rPr>
        <w:t>.</w:t>
      </w:r>
      <w:r w:rsidR="0059791F">
        <w:rPr>
          <w:i/>
          <w:iCs/>
        </w:rPr>
        <w:t xml:space="preserve"> </w:t>
      </w:r>
      <w:r w:rsidR="005F4A84">
        <w:rPr>
          <w:i/>
          <w:iCs/>
        </w:rPr>
        <w:t>Doe</w:t>
      </w:r>
      <w:r w:rsidRPr="00B233E3">
        <w:rPr>
          <w:i/>
          <w:iCs/>
        </w:rPr>
        <w:t>’s Motion</w:t>
      </w:r>
      <w:r>
        <w:t xml:space="preserve">, at </w:t>
      </w:r>
      <w:r w:rsidR="0059791F">
        <w:t>4</w:t>
      </w:r>
      <w:r>
        <w:t>–</w:t>
      </w:r>
      <w:r w:rsidR="0059791F">
        <w:t>5</w:t>
      </w:r>
      <w:r>
        <w:t xml:space="preserve">.  Without a proper defense investigation into the underlying facts, “counsel’s performance cannot fall within the ‘wide range of reasonable professional assistance.’”  </w:t>
      </w:r>
      <w:r w:rsidRPr="00EF3805">
        <w:rPr>
          <w:i/>
          <w:iCs/>
        </w:rPr>
        <w:t>Templin</w:t>
      </w:r>
      <w:r>
        <w:t xml:space="preserve">, 805 P.2d at 188 (quoting </w:t>
      </w:r>
      <w:r w:rsidRPr="00B233E3">
        <w:rPr>
          <w:i/>
          <w:iCs/>
        </w:rPr>
        <w:t>Strickland v. Washington</w:t>
      </w:r>
      <w:r>
        <w:t>, 466 U.S. 668, 686 (1984)</w:t>
      </w:r>
      <w:r w:rsidR="002E1BD5">
        <w:t>)</w:t>
      </w:r>
      <w:r>
        <w:t>.  In other words, were the records at issue in M</w:t>
      </w:r>
      <w:r w:rsidR="0059791F">
        <w:t>s</w:t>
      </w:r>
      <w:r>
        <w:t xml:space="preserve">. </w:t>
      </w:r>
      <w:r w:rsidR="005F4A84">
        <w:t>Doe</w:t>
      </w:r>
      <w:r>
        <w:t>’s Motion not being sought, h</w:t>
      </w:r>
      <w:r w:rsidR="0059791F">
        <w:t xml:space="preserve">er </w:t>
      </w:r>
      <w:r>
        <w:t xml:space="preserve">defense </w:t>
      </w:r>
      <w:r w:rsidR="0059791F">
        <w:t>could</w:t>
      </w:r>
      <w:r>
        <w:t xml:space="preserve"> constitute ineffective assistance of counsel.  So, while M</w:t>
      </w:r>
      <w:r w:rsidR="0059791F">
        <w:t>s</w:t>
      </w:r>
      <w:r>
        <w:t xml:space="preserve">. </w:t>
      </w:r>
      <w:r w:rsidR="005F4A84">
        <w:t>Doe</w:t>
      </w:r>
      <w:r w:rsidR="0059791F">
        <w:t xml:space="preserve"> </w:t>
      </w:r>
      <w:r>
        <w:t xml:space="preserve">agrees that the records may be relevant to confrontation, that is by no means the only purpose for which they are being sought.   </w:t>
      </w:r>
    </w:p>
    <w:p w14:paraId="08FCB43F" w14:textId="0206279D" w:rsidR="003D565F" w:rsidRDefault="003D565F" w:rsidP="00A90D27">
      <w:pPr>
        <w:spacing w:after="0" w:line="480" w:lineRule="auto"/>
        <w:ind w:left="0" w:right="0" w:firstLine="720"/>
        <w:jc w:val="both"/>
        <w:rPr>
          <w:bCs/>
        </w:rPr>
      </w:pPr>
      <w:r>
        <w:t>A</w:t>
      </w:r>
      <w:r w:rsidR="00A90D27">
        <w:t>nd because Rule 14 is not the law</w:t>
      </w:r>
      <w:r w:rsidR="0059791F">
        <w:t xml:space="preserve"> which governs access to the records sought in Ms. </w:t>
      </w:r>
      <w:r w:rsidR="005F4A84">
        <w:t>Doe</w:t>
      </w:r>
      <w:r w:rsidR="0059791F">
        <w:t>’s Motion,</w:t>
      </w:r>
      <w:r w:rsidR="00A90D27">
        <w:t xml:space="preserve"> the Alleged Victim doesn’t have a right to become involved in the dispute between M</w:t>
      </w:r>
      <w:r w:rsidR="0059791F">
        <w:t>s</w:t>
      </w:r>
      <w:r w:rsidR="00A90D27">
        <w:t xml:space="preserve">. </w:t>
      </w:r>
      <w:r w:rsidR="005F4A84">
        <w:t>Doe</w:t>
      </w:r>
      <w:r w:rsidR="00A90D27">
        <w:t xml:space="preserve"> and DCFS.  Nor does </w:t>
      </w:r>
      <w:r>
        <w:t xml:space="preserve">the Alleged Victim </w:t>
      </w:r>
      <w:r w:rsidR="00980AB7">
        <w:t xml:space="preserve">having </w:t>
      </w:r>
      <w:r w:rsidR="00A90D27">
        <w:t>a</w:t>
      </w:r>
      <w:r w:rsidR="00980AB7">
        <w:t xml:space="preserve"> right to notice of M</w:t>
      </w:r>
      <w:r w:rsidR="0059791F">
        <w:t>s</w:t>
      </w:r>
      <w:r w:rsidR="00980AB7">
        <w:t>.</w:t>
      </w:r>
      <w:r w:rsidR="0059791F">
        <w:t xml:space="preserve"> </w:t>
      </w:r>
      <w:r w:rsidR="005F4A84">
        <w:t>Doe</w:t>
      </w:r>
      <w:r w:rsidR="0059791F">
        <w:t xml:space="preserve"> </w:t>
      </w:r>
      <w:r w:rsidR="00980AB7">
        <w:t xml:space="preserve">seeking </w:t>
      </w:r>
      <w:r w:rsidR="00A90D27">
        <w:t xml:space="preserve">the </w:t>
      </w:r>
      <w:r w:rsidR="00980AB7">
        <w:t xml:space="preserve">DCFS records: the Alleged Victim </w:t>
      </w:r>
      <w:r>
        <w:t xml:space="preserve">is not a party to this case.  </w:t>
      </w:r>
      <w:r>
        <w:rPr>
          <w:bCs/>
        </w:rPr>
        <w:t xml:space="preserve">The Alleged Victim has “limited-purpose party” status in this case, which affords her standing to become involved in the case only in limited circumstances.  </w:t>
      </w:r>
      <w:r w:rsidRPr="00187F0C">
        <w:rPr>
          <w:bCs/>
          <w:i/>
          <w:iCs/>
        </w:rPr>
        <w:t>See S</w:t>
      </w:r>
      <w:r w:rsidRPr="00845B64">
        <w:rPr>
          <w:bCs/>
          <w:i/>
        </w:rPr>
        <w:t>tate v. Brown</w:t>
      </w:r>
      <w:r>
        <w:rPr>
          <w:bCs/>
        </w:rPr>
        <w:t xml:space="preserve">, 2014 UT 48, ¶¶ 19–20, 342 P.3d 239 </w:t>
      </w:r>
      <w:r>
        <w:rPr>
          <w:bCs/>
        </w:rPr>
        <w:lastRenderedPageBreak/>
        <w:t xml:space="preserve">(“victims . . . possess the status of a limited-purpose party”).  Limited-purpose standing does not grant the Alleged Victim a right to become involved in every aspect of this case.  </w:t>
      </w:r>
    </w:p>
    <w:p w14:paraId="14C84C40" w14:textId="07585304" w:rsidR="00B513E6" w:rsidRDefault="003D565F" w:rsidP="003D565F">
      <w:pPr>
        <w:pStyle w:val="ListParagraph"/>
        <w:spacing w:after="0" w:line="480" w:lineRule="auto"/>
        <w:ind w:left="0" w:right="0" w:firstLine="0"/>
        <w:jc w:val="both"/>
        <w:rPr>
          <w:bCs/>
        </w:rPr>
      </w:pPr>
      <w:r>
        <w:rPr>
          <w:bCs/>
        </w:rPr>
        <w:tab/>
        <w:t xml:space="preserve">In </w:t>
      </w:r>
      <w:r w:rsidRPr="00BE50DC">
        <w:rPr>
          <w:bCs/>
          <w:i/>
        </w:rPr>
        <w:t>State v. Brown</w:t>
      </w:r>
      <w:r>
        <w:rPr>
          <w:bCs/>
        </w:rPr>
        <w:t xml:space="preserve">, after the defendant had been sentenced, the victim filed a “notice of claim for restitution.”  </w:t>
      </w:r>
      <w:r w:rsidRPr="00EA144E">
        <w:rPr>
          <w:bCs/>
          <w:i/>
        </w:rPr>
        <w:t>Id.</w:t>
      </w:r>
      <w:r>
        <w:rPr>
          <w:bCs/>
        </w:rPr>
        <w:t xml:space="preserve"> ¶</w:t>
      </w:r>
      <w:r w:rsidR="005F4A84">
        <w:rPr>
          <w:bCs/>
        </w:rPr>
        <w:t xml:space="preserve"> </w:t>
      </w:r>
      <w:r>
        <w:rPr>
          <w:bCs/>
        </w:rPr>
        <w:t xml:space="preserve">6.  The defendant objected to the victim’s request, arguing that she did not have “standing to file such a pleading in a criminal action.”  </w:t>
      </w:r>
      <w:r w:rsidRPr="00EA144E">
        <w:rPr>
          <w:bCs/>
          <w:i/>
        </w:rPr>
        <w:t>Id.</w:t>
      </w:r>
      <w:r>
        <w:rPr>
          <w:bCs/>
        </w:rPr>
        <w:t xml:space="preserve"> ¶</w:t>
      </w:r>
      <w:r w:rsidR="005F4A84">
        <w:rPr>
          <w:bCs/>
        </w:rPr>
        <w:t xml:space="preserve"> </w:t>
      </w:r>
      <w:r>
        <w:rPr>
          <w:bCs/>
        </w:rPr>
        <w:t xml:space="preserve">7.  Ultimately, the district court in </w:t>
      </w:r>
      <w:r w:rsidRPr="00DF6F8F">
        <w:rPr>
          <w:bCs/>
          <w:i/>
        </w:rPr>
        <w:t>Brown</w:t>
      </w:r>
      <w:r>
        <w:rPr>
          <w:bCs/>
        </w:rPr>
        <w:t xml:space="preserve"> held “that crime victims are not parties to criminal proceedings and thus lack standing to file pleadings, including requests for restitution.”  </w:t>
      </w:r>
      <w:r w:rsidRPr="00BF40A8">
        <w:rPr>
          <w:bCs/>
          <w:i/>
        </w:rPr>
        <w:t>Id.</w:t>
      </w:r>
      <w:r>
        <w:rPr>
          <w:bCs/>
        </w:rPr>
        <w:t xml:space="preserve"> ¶</w:t>
      </w:r>
      <w:r w:rsidR="005F4A84">
        <w:rPr>
          <w:bCs/>
        </w:rPr>
        <w:t xml:space="preserve"> </w:t>
      </w:r>
      <w:r>
        <w:rPr>
          <w:bCs/>
        </w:rPr>
        <w:t xml:space="preserve">9.  The victim in </w:t>
      </w:r>
      <w:r w:rsidRPr="000B6102">
        <w:rPr>
          <w:bCs/>
          <w:i/>
          <w:iCs/>
        </w:rPr>
        <w:t>Brown</w:t>
      </w:r>
      <w:r>
        <w:rPr>
          <w:bCs/>
        </w:rPr>
        <w:t xml:space="preserve"> appealed that decision and the Utah Supreme Court decided otherwise, holding that the victim could “intervene for the </w:t>
      </w:r>
      <w:r w:rsidRPr="00FE15D9">
        <w:rPr>
          <w:bCs/>
          <w:i/>
          <w:iCs/>
        </w:rPr>
        <w:t>limited purpose</w:t>
      </w:r>
      <w:r>
        <w:rPr>
          <w:bCs/>
        </w:rPr>
        <w:t xml:space="preserve"> of filing a notice of claim for restitution.”  </w:t>
      </w:r>
      <w:r w:rsidRPr="00BF40A8">
        <w:rPr>
          <w:bCs/>
          <w:i/>
        </w:rPr>
        <w:t>Id.</w:t>
      </w:r>
      <w:r>
        <w:rPr>
          <w:bCs/>
        </w:rPr>
        <w:t xml:space="preserve"> ¶</w:t>
      </w:r>
      <w:r w:rsidR="005F4A84">
        <w:rPr>
          <w:bCs/>
        </w:rPr>
        <w:t xml:space="preserve"> </w:t>
      </w:r>
      <w:r>
        <w:rPr>
          <w:bCs/>
        </w:rPr>
        <w:t xml:space="preserve">12 (emphasis added).  The </w:t>
      </w:r>
      <w:r w:rsidRPr="000B6102">
        <w:rPr>
          <w:bCs/>
          <w:i/>
          <w:iCs/>
        </w:rPr>
        <w:t>Brown</w:t>
      </w:r>
      <w:r>
        <w:rPr>
          <w:bCs/>
        </w:rPr>
        <w:t xml:space="preserve"> Court authorized this limited-party action by the victim in </w:t>
      </w:r>
      <w:r w:rsidRPr="000B6102">
        <w:rPr>
          <w:bCs/>
          <w:i/>
          <w:iCs/>
        </w:rPr>
        <w:t>Brown</w:t>
      </w:r>
      <w:r>
        <w:rPr>
          <w:bCs/>
        </w:rPr>
        <w:t xml:space="preserve"> because “[i]mportant criminal justice hearing,” as defined in </w:t>
      </w:r>
      <w:r w:rsidR="00980AB7">
        <w:t>§</w:t>
      </w:r>
      <w:r w:rsidR="005F4A84">
        <w:t xml:space="preserve"> </w:t>
      </w:r>
      <w:r>
        <w:rPr>
          <w:bCs/>
        </w:rPr>
        <w:t xml:space="preserve">77-38-2(5)(f) “includes court proceedings involving restitution.”  </w:t>
      </w:r>
      <w:r w:rsidRPr="000B6102">
        <w:rPr>
          <w:bCs/>
          <w:i/>
          <w:iCs/>
        </w:rPr>
        <w:t>Brown</w:t>
      </w:r>
      <w:r>
        <w:rPr>
          <w:bCs/>
        </w:rPr>
        <w:t>, 2014 UT 48, ¶</w:t>
      </w:r>
      <w:r w:rsidR="005F4A84">
        <w:rPr>
          <w:bCs/>
        </w:rPr>
        <w:t xml:space="preserve"> </w:t>
      </w:r>
      <w:r>
        <w:rPr>
          <w:bCs/>
        </w:rPr>
        <w:t xml:space="preserve">13.  </w:t>
      </w:r>
    </w:p>
    <w:p w14:paraId="619B8B82" w14:textId="62757EDE" w:rsidR="003D565F" w:rsidRDefault="00B513E6" w:rsidP="003D565F">
      <w:pPr>
        <w:pStyle w:val="ListParagraph"/>
        <w:spacing w:after="0" w:line="480" w:lineRule="auto"/>
        <w:ind w:left="0" w:right="0" w:firstLine="0"/>
        <w:jc w:val="both"/>
        <w:rPr>
          <w:bCs/>
        </w:rPr>
      </w:pPr>
      <w:r>
        <w:rPr>
          <w:bCs/>
        </w:rPr>
        <w:tab/>
      </w:r>
      <w:r w:rsidR="003D565F">
        <w:rPr>
          <w:bCs/>
        </w:rPr>
        <w:t xml:space="preserve">But </w:t>
      </w:r>
      <w:r w:rsidR="00980AB7">
        <w:t>§</w:t>
      </w:r>
      <w:r w:rsidR="005F4A84">
        <w:t xml:space="preserve"> </w:t>
      </w:r>
      <w:r w:rsidR="003D565F">
        <w:rPr>
          <w:bCs/>
        </w:rPr>
        <w:t>77-38-2(5) does not give the Alleged Victim in this matter any similar standing to object to or respond in any way to M</w:t>
      </w:r>
      <w:r w:rsidR="0059791F">
        <w:rPr>
          <w:bCs/>
        </w:rPr>
        <w:t>s</w:t>
      </w:r>
      <w:r w:rsidR="003D565F">
        <w:rPr>
          <w:bCs/>
        </w:rPr>
        <w:t xml:space="preserve">. </w:t>
      </w:r>
      <w:r w:rsidR="005F4A84">
        <w:rPr>
          <w:bCs/>
        </w:rPr>
        <w:t>Doe</w:t>
      </w:r>
      <w:r w:rsidR="003D565F">
        <w:rPr>
          <w:bCs/>
        </w:rPr>
        <w:t xml:space="preserve">’s Motion requesting the production of DCFS records pursuant to GRAMA.  </w:t>
      </w:r>
    </w:p>
    <w:p w14:paraId="782C9E64" w14:textId="044419D5" w:rsidR="004512F8" w:rsidRPr="00664C7B" w:rsidRDefault="004512F8" w:rsidP="00A90D27">
      <w:pPr>
        <w:pStyle w:val="ListParagraph"/>
        <w:spacing w:after="0" w:line="480" w:lineRule="auto"/>
        <w:ind w:left="0" w:right="0" w:firstLine="0"/>
        <w:jc w:val="center"/>
        <w:rPr>
          <w:b/>
          <w:bCs/>
          <w:szCs w:val="24"/>
        </w:rPr>
      </w:pPr>
      <w:r w:rsidRPr="00664C7B">
        <w:rPr>
          <w:b/>
          <w:bCs/>
          <w:szCs w:val="24"/>
        </w:rPr>
        <w:t>CONCLUSION</w:t>
      </w:r>
    </w:p>
    <w:p w14:paraId="0F41465B" w14:textId="5090F040" w:rsidR="00A90D27" w:rsidRPr="0059791F" w:rsidRDefault="00A90D27" w:rsidP="00A90D27">
      <w:pPr>
        <w:pStyle w:val="ListParagraph"/>
        <w:spacing w:after="0" w:line="480" w:lineRule="auto"/>
        <w:ind w:left="0" w:right="0" w:firstLine="0"/>
        <w:jc w:val="both"/>
        <w:rPr>
          <w:bCs/>
        </w:rPr>
      </w:pPr>
      <w:r>
        <w:rPr>
          <w:szCs w:val="24"/>
        </w:rPr>
        <w:tab/>
      </w:r>
      <w:r w:rsidR="003425FF">
        <w:rPr>
          <w:szCs w:val="24"/>
        </w:rPr>
        <w:t>M</w:t>
      </w:r>
      <w:r w:rsidR="0059791F">
        <w:rPr>
          <w:szCs w:val="24"/>
        </w:rPr>
        <w:t>s</w:t>
      </w:r>
      <w:r w:rsidR="003425FF">
        <w:rPr>
          <w:szCs w:val="24"/>
        </w:rPr>
        <w:t xml:space="preserve">. </w:t>
      </w:r>
      <w:r w:rsidR="005F4A84">
        <w:rPr>
          <w:szCs w:val="24"/>
        </w:rPr>
        <w:t>Doe</w:t>
      </w:r>
      <w:r w:rsidR="003425FF">
        <w:rPr>
          <w:szCs w:val="24"/>
        </w:rPr>
        <w:t xml:space="preserve"> </w:t>
      </w:r>
      <w:r w:rsidR="00941E98">
        <w:rPr>
          <w:szCs w:val="24"/>
        </w:rPr>
        <w:t>has the right to have h</w:t>
      </w:r>
      <w:r w:rsidR="0059791F">
        <w:rPr>
          <w:szCs w:val="24"/>
        </w:rPr>
        <w:t>er</w:t>
      </w:r>
      <w:r w:rsidR="00941E98">
        <w:rPr>
          <w:szCs w:val="24"/>
        </w:rPr>
        <w:t xml:space="preserve"> attorney fully </w:t>
      </w:r>
      <w:r w:rsidR="007E4225">
        <w:rPr>
          <w:szCs w:val="24"/>
        </w:rPr>
        <w:t>investigate the underlying facts of this case</w:t>
      </w:r>
      <w:r>
        <w:rPr>
          <w:szCs w:val="24"/>
        </w:rPr>
        <w:t xml:space="preserve">, and </w:t>
      </w:r>
      <w:r w:rsidR="00941E98">
        <w:rPr>
          <w:szCs w:val="24"/>
        </w:rPr>
        <w:t xml:space="preserve">access to the records </w:t>
      </w:r>
      <w:r w:rsidR="0005200C">
        <w:rPr>
          <w:szCs w:val="24"/>
        </w:rPr>
        <w:t xml:space="preserve">sought in </w:t>
      </w:r>
      <w:r>
        <w:rPr>
          <w:szCs w:val="24"/>
        </w:rPr>
        <w:t>h</w:t>
      </w:r>
      <w:r w:rsidR="0059791F">
        <w:rPr>
          <w:szCs w:val="24"/>
        </w:rPr>
        <w:t>er</w:t>
      </w:r>
      <w:r>
        <w:rPr>
          <w:szCs w:val="24"/>
        </w:rPr>
        <w:t xml:space="preserve"> </w:t>
      </w:r>
      <w:r w:rsidR="0005200C">
        <w:rPr>
          <w:szCs w:val="24"/>
        </w:rPr>
        <w:t xml:space="preserve">Motion </w:t>
      </w:r>
      <w:r w:rsidR="00941E98">
        <w:rPr>
          <w:szCs w:val="24"/>
        </w:rPr>
        <w:t xml:space="preserve">is the only way in which </w:t>
      </w:r>
      <w:r w:rsidR="0005200C">
        <w:rPr>
          <w:szCs w:val="24"/>
        </w:rPr>
        <w:t>a full investigation into the underlying facts can occur</w:t>
      </w:r>
      <w:r w:rsidR="004512F8" w:rsidRPr="004512F8">
        <w:rPr>
          <w:szCs w:val="24"/>
        </w:rPr>
        <w:t>.</w:t>
      </w:r>
      <w:r w:rsidR="000E1198">
        <w:rPr>
          <w:szCs w:val="24"/>
        </w:rPr>
        <w:t xml:space="preserve">  </w:t>
      </w:r>
      <w:r>
        <w:rPr>
          <w:bCs/>
        </w:rPr>
        <w:t>DCFS is simply attempting to make the issue raised in M</w:t>
      </w:r>
      <w:r w:rsidR="0059791F">
        <w:rPr>
          <w:bCs/>
        </w:rPr>
        <w:t>s</w:t>
      </w:r>
      <w:r>
        <w:rPr>
          <w:bCs/>
        </w:rPr>
        <w:t>.</w:t>
      </w:r>
      <w:r w:rsidR="0059791F">
        <w:rPr>
          <w:bCs/>
        </w:rPr>
        <w:t xml:space="preserve"> </w:t>
      </w:r>
      <w:r w:rsidR="005F4A84">
        <w:rPr>
          <w:bCs/>
        </w:rPr>
        <w:t>Doe</w:t>
      </w:r>
      <w:r w:rsidR="0059791F">
        <w:rPr>
          <w:bCs/>
        </w:rPr>
        <w:t xml:space="preserve">’s </w:t>
      </w:r>
      <w:r>
        <w:rPr>
          <w:bCs/>
        </w:rPr>
        <w:t xml:space="preserve">Motion and the process associated with it more complicated and onerous than the law actually makes it.  </w:t>
      </w:r>
      <w:r>
        <w:t>§</w:t>
      </w:r>
      <w:r w:rsidR="005F4A84">
        <w:t xml:space="preserve"> </w:t>
      </w:r>
      <w:r>
        <w:t>63G-2-202(7) is what governs access to the records sought in M</w:t>
      </w:r>
      <w:r w:rsidR="00C84C7B">
        <w:t>s</w:t>
      </w:r>
      <w:r>
        <w:t xml:space="preserve">. </w:t>
      </w:r>
      <w:r w:rsidR="005F4A84">
        <w:t>Doe</w:t>
      </w:r>
      <w:r>
        <w:t>’</w:t>
      </w:r>
      <w:r w:rsidR="00E20583">
        <w:t xml:space="preserve">s </w:t>
      </w:r>
      <w:r>
        <w:t>Motion, and that is the law the Court should apply.</w:t>
      </w:r>
      <w:r w:rsidR="0059791F">
        <w:t xml:space="preserve">  The Court should grant the request made in Ms. </w:t>
      </w:r>
      <w:r w:rsidR="005F4A84">
        <w:t>Doe</w:t>
      </w:r>
      <w:r w:rsidR="0059791F">
        <w:t xml:space="preserve">’s Motion. </w:t>
      </w:r>
    </w:p>
    <w:bookmarkEnd w:id="1"/>
    <w:p w14:paraId="4A396387" w14:textId="71E74B50" w:rsidR="0052273D" w:rsidRPr="00AE28A6" w:rsidRDefault="0052273D" w:rsidP="004512F8">
      <w:pPr>
        <w:pStyle w:val="BodyText"/>
        <w:spacing w:before="0" w:line="480" w:lineRule="auto"/>
        <w:ind w:right="-30" w:firstLine="720"/>
        <w:jc w:val="both"/>
      </w:pPr>
      <w:r>
        <w:lastRenderedPageBreak/>
        <w:t xml:space="preserve">DATED </w:t>
      </w:r>
      <w:r w:rsidR="001233B5">
        <w:t xml:space="preserve">this </w:t>
      </w:r>
      <w:r w:rsidR="00935EF5">
        <w:t>19</w:t>
      </w:r>
      <w:r w:rsidR="00941E98">
        <w:t>th</w:t>
      </w:r>
      <w:r w:rsidR="001233B5">
        <w:t xml:space="preserve"> </w:t>
      </w:r>
      <w:r w:rsidRPr="00AE28A6">
        <w:t xml:space="preserve">day </w:t>
      </w:r>
      <w:r w:rsidRPr="00061D38">
        <w:t xml:space="preserve">of </w:t>
      </w:r>
      <w:r w:rsidR="000E71BC">
        <w:t>July</w:t>
      </w:r>
      <w:r w:rsidRPr="00061D38">
        <w:t>, 20</w:t>
      </w:r>
      <w:r w:rsidR="00A61042">
        <w:t>2</w:t>
      </w:r>
      <w:r w:rsidR="007A7815">
        <w:t>1</w:t>
      </w:r>
      <w:r w:rsidR="003D5A3B">
        <w:t xml:space="preserve">.  </w:t>
      </w:r>
    </w:p>
    <w:p w14:paraId="7AD630CE" w14:textId="110EAC2B" w:rsidR="00F933B7" w:rsidRPr="006913BF" w:rsidRDefault="0052273D" w:rsidP="00F933B7">
      <w:pPr>
        <w:tabs>
          <w:tab w:val="left" w:pos="5760"/>
        </w:tabs>
        <w:spacing w:after="0"/>
        <w:ind w:left="5760" w:right="0" w:hanging="5040"/>
        <w:jc w:val="both"/>
        <w:rPr>
          <w:i/>
        </w:rPr>
      </w:pPr>
      <w:r w:rsidRPr="00AE28A6">
        <w:tab/>
      </w:r>
      <w:bookmarkStart w:id="3" w:name="_Hlk35780618"/>
      <w:r w:rsidR="00F933B7" w:rsidRPr="006913BF">
        <w:rPr>
          <w:i/>
          <w:u w:val="single"/>
        </w:rPr>
        <w:t>/s/ Benjamin R. Aldana</w:t>
      </w:r>
    </w:p>
    <w:p w14:paraId="061B55A3" w14:textId="77777777" w:rsidR="00F933B7" w:rsidRPr="00AE28A6" w:rsidRDefault="00F933B7" w:rsidP="00F933B7">
      <w:pPr>
        <w:tabs>
          <w:tab w:val="left" w:pos="5760"/>
        </w:tabs>
        <w:spacing w:after="0"/>
        <w:ind w:left="0" w:right="0" w:firstLine="0"/>
        <w:jc w:val="both"/>
      </w:pPr>
      <w:r w:rsidRPr="00AE28A6">
        <w:tab/>
      </w:r>
      <w:r>
        <w:t>Benjamin R. Aldana</w:t>
      </w:r>
    </w:p>
    <w:p w14:paraId="61B0F8FF" w14:textId="323B1A29" w:rsidR="007E1A0B" w:rsidRDefault="00F933B7" w:rsidP="00F933B7">
      <w:pPr>
        <w:tabs>
          <w:tab w:val="left" w:pos="5760"/>
        </w:tabs>
        <w:spacing w:after="0"/>
        <w:ind w:left="0" w:right="0" w:firstLine="0"/>
        <w:sectPr w:rsidR="007E1A0B" w:rsidSect="00C510DA">
          <w:footerReference w:type="default" r:id="rId8"/>
          <w:pgSz w:w="12240" w:h="15840" w:code="1"/>
          <w:pgMar w:top="1440" w:right="1440" w:bottom="1440" w:left="1440" w:header="720" w:footer="720" w:gutter="0"/>
          <w:cols w:space="720"/>
          <w:docGrid w:linePitch="360"/>
        </w:sectPr>
      </w:pPr>
      <w:r w:rsidRPr="00AE28A6">
        <w:tab/>
      </w:r>
      <w:r w:rsidRPr="00CA71AE">
        <w:t xml:space="preserve">Attorney for </w:t>
      </w:r>
      <w:r>
        <w:t>M</w:t>
      </w:r>
      <w:r w:rsidR="000E71BC">
        <w:t>s</w:t>
      </w:r>
      <w:r>
        <w:t xml:space="preserve">. </w:t>
      </w:r>
      <w:r w:rsidR="005F4A84">
        <w:t>Doe</w:t>
      </w:r>
      <w:r w:rsidR="000E71BC">
        <w:t xml:space="preserve"> </w:t>
      </w:r>
    </w:p>
    <w:bookmarkEnd w:id="3"/>
    <w:p w14:paraId="5D4D43F9" w14:textId="77777777" w:rsidR="001233B5" w:rsidRPr="00E50C63" w:rsidRDefault="001233B5" w:rsidP="0013650F">
      <w:pPr>
        <w:ind w:left="0" w:right="0" w:firstLine="0"/>
        <w:jc w:val="center"/>
        <w:rPr>
          <w:u w:val="single"/>
        </w:rPr>
      </w:pPr>
      <w:r w:rsidRPr="00E50C63">
        <w:rPr>
          <w:u w:val="single"/>
        </w:rPr>
        <w:lastRenderedPageBreak/>
        <w:t>CERTIFICATE OF SERVICE</w:t>
      </w:r>
    </w:p>
    <w:p w14:paraId="78359287" w14:textId="0922EC11" w:rsidR="001233B5" w:rsidRDefault="001233B5" w:rsidP="0013650F">
      <w:pPr>
        <w:pStyle w:val="Default"/>
        <w:spacing w:line="480" w:lineRule="auto"/>
        <w:ind w:firstLine="720"/>
        <w:jc w:val="both"/>
      </w:pPr>
      <w:r w:rsidRPr="00E50C63">
        <w:t xml:space="preserve">Via the court’s electronic filing system a copy of the foregoing was sent to the </w:t>
      </w:r>
      <w:r>
        <w:t>Utah County Attorney’s</w:t>
      </w:r>
      <w:r w:rsidRPr="00E50C63">
        <w:t xml:space="preserve"> Office, this </w:t>
      </w:r>
      <w:r w:rsidR="00935EF5">
        <w:t>19</w:t>
      </w:r>
      <w:r w:rsidR="000E71BC">
        <w:t>t</w:t>
      </w:r>
      <w:r w:rsidR="00941E98">
        <w:t xml:space="preserve">h day of </w:t>
      </w:r>
      <w:r w:rsidR="000E71BC">
        <w:t>July</w:t>
      </w:r>
      <w:r w:rsidRPr="00E50C63">
        <w:t xml:space="preserve">, </w:t>
      </w:r>
      <w:r w:rsidRPr="00E50C63">
        <w:rPr>
          <w:noProof/>
        </w:rPr>
        <w:t>20</w:t>
      </w:r>
      <w:r w:rsidR="00A61042">
        <w:rPr>
          <w:noProof/>
        </w:rPr>
        <w:t>2</w:t>
      </w:r>
      <w:r w:rsidR="007A7815">
        <w:rPr>
          <w:noProof/>
        </w:rPr>
        <w:t>1</w:t>
      </w:r>
      <w:r w:rsidRPr="00E50C63">
        <w:t>.</w:t>
      </w:r>
    </w:p>
    <w:p w14:paraId="15A2F994" w14:textId="4A38CD57" w:rsidR="009B1AB2" w:rsidRPr="00542F53" w:rsidRDefault="009B1AB2" w:rsidP="009B1AB2">
      <w:pPr>
        <w:pStyle w:val="Default"/>
        <w:spacing w:line="480" w:lineRule="auto"/>
        <w:ind w:firstLine="720"/>
        <w:jc w:val="both"/>
        <w:rPr>
          <w:color w:val="auto"/>
        </w:rPr>
      </w:pPr>
      <w:r w:rsidRPr="00542F53">
        <w:rPr>
          <w:color w:val="auto"/>
        </w:rPr>
        <w:t>Additionally, the following individual</w:t>
      </w:r>
      <w:r>
        <w:rPr>
          <w:color w:val="auto"/>
        </w:rPr>
        <w:t xml:space="preserve"> was</w:t>
      </w:r>
      <w:r w:rsidRPr="00542F53">
        <w:rPr>
          <w:color w:val="auto"/>
        </w:rPr>
        <w:t xml:space="preserve"> served by email: </w:t>
      </w:r>
    </w:p>
    <w:p w14:paraId="09BE84BC" w14:textId="77777777" w:rsidR="009B1AB2" w:rsidRDefault="009B1AB2" w:rsidP="009B1AB2">
      <w:pPr>
        <w:pStyle w:val="Default"/>
        <w:spacing w:line="276" w:lineRule="auto"/>
        <w:ind w:firstLine="720"/>
        <w:jc w:val="both"/>
        <w:rPr>
          <w:color w:val="auto"/>
        </w:rPr>
      </w:pPr>
      <w:r>
        <w:rPr>
          <w:color w:val="auto"/>
        </w:rPr>
        <w:t xml:space="preserve">Assistant Attorney General </w:t>
      </w:r>
    </w:p>
    <w:p w14:paraId="6CF6C396" w14:textId="07297923" w:rsidR="009B1AB2" w:rsidRDefault="007911B1" w:rsidP="009B1AB2">
      <w:pPr>
        <w:pStyle w:val="Default"/>
        <w:spacing w:line="276" w:lineRule="auto"/>
        <w:ind w:firstLine="720"/>
        <w:jc w:val="both"/>
        <w:rPr>
          <w:color w:val="auto"/>
        </w:rPr>
      </w:pPr>
      <w:r>
        <w:rPr>
          <w:color w:val="auto"/>
        </w:rPr>
        <w:t>Attorney</w:t>
      </w:r>
      <w:r w:rsidR="009B1AB2">
        <w:rPr>
          <w:color w:val="auto"/>
        </w:rPr>
        <w:t xml:space="preserve"> for DCFS</w:t>
      </w:r>
    </w:p>
    <w:p w14:paraId="6C7A1706" w14:textId="77777777" w:rsidR="009B1AB2" w:rsidRDefault="009B1AB2" w:rsidP="0013650F">
      <w:pPr>
        <w:pStyle w:val="Default"/>
        <w:spacing w:line="480" w:lineRule="auto"/>
        <w:ind w:firstLine="720"/>
        <w:jc w:val="both"/>
      </w:pPr>
    </w:p>
    <w:p w14:paraId="3A433489" w14:textId="77777777" w:rsidR="0042140A" w:rsidRDefault="0042140A" w:rsidP="0042140A">
      <w:pPr>
        <w:pStyle w:val="Default"/>
        <w:ind w:firstLine="720"/>
        <w:jc w:val="both"/>
      </w:pPr>
    </w:p>
    <w:tbl>
      <w:tblPr>
        <w:tblStyle w:val="TableGrid"/>
        <w:tblW w:w="0" w:type="auto"/>
        <w:tblLook w:val="04A0" w:firstRow="1" w:lastRow="0" w:firstColumn="1" w:lastColumn="0" w:noHBand="0" w:noVBand="1"/>
      </w:tblPr>
      <w:tblGrid>
        <w:gridCol w:w="3192"/>
        <w:gridCol w:w="1596"/>
        <w:gridCol w:w="4788"/>
      </w:tblGrid>
      <w:tr w:rsidR="001233B5" w:rsidRPr="00E50C63" w14:paraId="2B6094D9" w14:textId="77777777" w:rsidTr="0096181D">
        <w:tc>
          <w:tcPr>
            <w:tcW w:w="3192" w:type="dxa"/>
            <w:tcBorders>
              <w:top w:val="nil"/>
              <w:left w:val="nil"/>
              <w:bottom w:val="nil"/>
              <w:right w:val="nil"/>
            </w:tcBorders>
          </w:tcPr>
          <w:p w14:paraId="3F435066" w14:textId="77777777" w:rsidR="001233B5" w:rsidRPr="00E50C63" w:rsidRDefault="001233B5" w:rsidP="001233B5">
            <w:pPr>
              <w:spacing w:after="0"/>
            </w:pPr>
          </w:p>
        </w:tc>
        <w:tc>
          <w:tcPr>
            <w:tcW w:w="1596" w:type="dxa"/>
            <w:tcBorders>
              <w:top w:val="nil"/>
              <w:left w:val="nil"/>
              <w:bottom w:val="nil"/>
              <w:right w:val="nil"/>
            </w:tcBorders>
          </w:tcPr>
          <w:p w14:paraId="147030B9" w14:textId="77777777" w:rsidR="001233B5" w:rsidRPr="00E50C63" w:rsidRDefault="001233B5" w:rsidP="001233B5">
            <w:pPr>
              <w:spacing w:after="0"/>
            </w:pPr>
          </w:p>
        </w:tc>
        <w:tc>
          <w:tcPr>
            <w:tcW w:w="4788" w:type="dxa"/>
            <w:tcBorders>
              <w:top w:val="nil"/>
              <w:left w:val="nil"/>
              <w:right w:val="nil"/>
            </w:tcBorders>
          </w:tcPr>
          <w:p w14:paraId="2F09F09D" w14:textId="77777777" w:rsidR="001233B5" w:rsidRPr="00E50C63" w:rsidRDefault="001233B5" w:rsidP="00806CA6">
            <w:pPr>
              <w:spacing w:after="0"/>
              <w:rPr>
                <w:i/>
              </w:rPr>
            </w:pPr>
            <w:r w:rsidRPr="00E50C63">
              <w:rPr>
                <w:i/>
              </w:rPr>
              <w:t xml:space="preserve">/s/ </w:t>
            </w:r>
            <w:r w:rsidR="00806CA6">
              <w:rPr>
                <w:i/>
              </w:rPr>
              <w:t>Benjamin R. Aldana</w:t>
            </w:r>
          </w:p>
        </w:tc>
      </w:tr>
    </w:tbl>
    <w:p w14:paraId="333B0C32" w14:textId="77777777" w:rsidR="001233B5" w:rsidRDefault="001233B5" w:rsidP="001233B5">
      <w:pPr>
        <w:spacing w:after="0"/>
      </w:pPr>
    </w:p>
    <w:sectPr w:rsidR="001233B5" w:rsidSect="00957320">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DF41" w14:textId="77777777" w:rsidR="00234E5A" w:rsidRDefault="00234E5A" w:rsidP="00BD02A9">
      <w:pPr>
        <w:spacing w:after="0"/>
      </w:pPr>
      <w:r>
        <w:separator/>
      </w:r>
    </w:p>
  </w:endnote>
  <w:endnote w:type="continuationSeparator" w:id="0">
    <w:p w14:paraId="156E8202" w14:textId="77777777" w:rsidR="00234E5A" w:rsidRDefault="00234E5A" w:rsidP="00BD0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37351"/>
      <w:docPartObj>
        <w:docPartGallery w:val="Page Numbers (Bottom of Page)"/>
        <w:docPartUnique/>
      </w:docPartObj>
    </w:sdtPr>
    <w:sdtEndPr>
      <w:rPr>
        <w:noProof/>
      </w:rPr>
    </w:sdtEndPr>
    <w:sdtContent>
      <w:p w14:paraId="0E798432" w14:textId="77777777" w:rsidR="00325697" w:rsidRDefault="00C51971" w:rsidP="00046CCF">
        <w:pPr>
          <w:pStyle w:val="Footer"/>
          <w:spacing w:before="240" w:after="0"/>
          <w:ind w:right="0"/>
          <w:jc w:val="center"/>
        </w:pPr>
        <w:r>
          <w:fldChar w:fldCharType="begin"/>
        </w:r>
        <w:r>
          <w:instrText xml:space="preserve"> PAGE   \* MERGEFORMAT </w:instrText>
        </w:r>
        <w:r>
          <w:fldChar w:fldCharType="separate"/>
        </w:r>
        <w:r w:rsidR="006E5AF5">
          <w:rPr>
            <w:noProof/>
          </w:rPr>
          <w:t>7</w:t>
        </w:r>
        <w:r>
          <w:rPr>
            <w:noProof/>
          </w:rPr>
          <w:fldChar w:fldCharType="end"/>
        </w:r>
      </w:p>
    </w:sdtContent>
  </w:sdt>
  <w:p w14:paraId="66D12676" w14:textId="77777777" w:rsidR="00325697" w:rsidRDefault="0032569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5242" w14:textId="77777777" w:rsidR="00325697" w:rsidRDefault="00325697">
    <w:pPr>
      <w:pStyle w:val="Footer"/>
      <w:jc w:val="center"/>
    </w:pPr>
  </w:p>
  <w:p w14:paraId="7C3AA9C1" w14:textId="77777777" w:rsidR="00325697" w:rsidRDefault="003256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E273" w14:textId="77777777" w:rsidR="00234E5A" w:rsidRDefault="00234E5A" w:rsidP="00BD02A9">
      <w:pPr>
        <w:spacing w:after="0"/>
      </w:pPr>
      <w:r>
        <w:separator/>
      </w:r>
    </w:p>
  </w:footnote>
  <w:footnote w:type="continuationSeparator" w:id="0">
    <w:p w14:paraId="2D708BC0" w14:textId="77777777" w:rsidR="00234E5A" w:rsidRDefault="00234E5A" w:rsidP="00BD02A9">
      <w:pPr>
        <w:spacing w:after="0"/>
      </w:pPr>
      <w:r>
        <w:continuationSeparator/>
      </w:r>
    </w:p>
  </w:footnote>
  <w:footnote w:id="1">
    <w:p w14:paraId="052FB39B" w14:textId="3A8AD769" w:rsidR="001B0DEB" w:rsidRDefault="001B0DEB" w:rsidP="000E71BC">
      <w:pPr>
        <w:pStyle w:val="FootnoteText"/>
        <w:spacing w:after="0" w:line="276" w:lineRule="auto"/>
        <w:ind w:left="0" w:right="0" w:firstLine="0"/>
      </w:pPr>
      <w:r>
        <w:rPr>
          <w:rStyle w:val="FootnoteReference"/>
        </w:rPr>
        <w:footnoteRef/>
      </w:r>
      <w:r>
        <w:t xml:space="preserve"> §62A-4a-412(1)(k) specifies that “any individual identified in the report as a perpetrator or possible perpetrator of abuse” may have access to records </w:t>
      </w:r>
      <w:r w:rsidR="00CE468F">
        <w:t xml:space="preserve">such as those </w:t>
      </w:r>
      <w:r w:rsidR="004763DC">
        <w:t xml:space="preserve">being </w:t>
      </w:r>
      <w:r>
        <w:t xml:space="preserve">sought </w:t>
      </w:r>
      <w:r w:rsidR="004763DC">
        <w:t xml:space="preserve">in </w:t>
      </w:r>
      <w:r>
        <w:t>M</w:t>
      </w:r>
      <w:r w:rsidR="0059791F">
        <w:t>s</w:t>
      </w:r>
      <w:r>
        <w:t xml:space="preserve">. </w:t>
      </w:r>
      <w:r w:rsidR="005F4A84">
        <w:t>Doe</w:t>
      </w:r>
      <w:r w:rsidR="0059791F">
        <w:t>’s</w:t>
      </w:r>
      <w:r w:rsidR="004763DC">
        <w:t xml:space="preserve"> Motion</w:t>
      </w:r>
      <w:r>
        <w:t xml:space="preserve">. </w:t>
      </w:r>
    </w:p>
  </w:footnote>
  <w:footnote w:id="2">
    <w:p w14:paraId="4825B9E3" w14:textId="12767079" w:rsidR="000E71BC" w:rsidRDefault="000E71BC" w:rsidP="000E71BC">
      <w:pPr>
        <w:pStyle w:val="FootnoteText"/>
        <w:ind w:left="0" w:right="0" w:firstLine="0"/>
        <w:jc w:val="both"/>
      </w:pPr>
      <w:r>
        <w:rPr>
          <w:rStyle w:val="FootnoteReference"/>
        </w:rPr>
        <w:footnoteRef/>
      </w:r>
      <w:r>
        <w:t xml:space="preserve"> </w:t>
      </w:r>
      <w:r w:rsidRPr="000E71BC">
        <w:rPr>
          <w:i/>
          <w:iCs/>
        </w:rPr>
        <w:t>See DCFS’s Opposition</w:t>
      </w:r>
      <w:r>
        <w:t xml:space="preserve">, at 2 (stating that Ms. </w:t>
      </w:r>
      <w:r w:rsidR="005F4A84">
        <w:t>Doe</w:t>
      </w:r>
      <w:r>
        <w:t xml:space="preserve"> “requested the records in August 2020 and on August 31, 2020,” she “was sent a denial letter based on Rule 14 of the Utah Rules of Criminal Procedure.”).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BB6F" w14:textId="77777777" w:rsidR="00325697" w:rsidRDefault="00325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AEC"/>
    <w:multiLevelType w:val="hybridMultilevel"/>
    <w:tmpl w:val="1C78A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B3460"/>
    <w:multiLevelType w:val="hybridMultilevel"/>
    <w:tmpl w:val="F7063684"/>
    <w:lvl w:ilvl="0" w:tplc="F7D665D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027DE"/>
    <w:multiLevelType w:val="hybridMultilevel"/>
    <w:tmpl w:val="38743FEC"/>
    <w:lvl w:ilvl="0" w:tplc="D7402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F3F87"/>
    <w:multiLevelType w:val="hybridMultilevel"/>
    <w:tmpl w:val="4300B0FC"/>
    <w:lvl w:ilvl="0" w:tplc="D1B24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155A5"/>
    <w:multiLevelType w:val="hybridMultilevel"/>
    <w:tmpl w:val="B2725F56"/>
    <w:lvl w:ilvl="0" w:tplc="8FC63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E317BA"/>
    <w:multiLevelType w:val="hybridMultilevel"/>
    <w:tmpl w:val="4A8C5EC6"/>
    <w:lvl w:ilvl="0" w:tplc="CB7E6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D0228"/>
    <w:multiLevelType w:val="hybridMultilevel"/>
    <w:tmpl w:val="08D41F7C"/>
    <w:lvl w:ilvl="0" w:tplc="2D3840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F43969"/>
    <w:multiLevelType w:val="hybridMultilevel"/>
    <w:tmpl w:val="5396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F2F97"/>
    <w:multiLevelType w:val="hybridMultilevel"/>
    <w:tmpl w:val="7962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44140"/>
    <w:multiLevelType w:val="hybridMultilevel"/>
    <w:tmpl w:val="780ABD4A"/>
    <w:lvl w:ilvl="0" w:tplc="478C4BD0">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A0A30"/>
    <w:multiLevelType w:val="hybridMultilevel"/>
    <w:tmpl w:val="5D725852"/>
    <w:lvl w:ilvl="0" w:tplc="30C43C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249BA"/>
    <w:multiLevelType w:val="hybridMultilevel"/>
    <w:tmpl w:val="6208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83093"/>
    <w:multiLevelType w:val="hybridMultilevel"/>
    <w:tmpl w:val="794A89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3B240B"/>
    <w:multiLevelType w:val="hybridMultilevel"/>
    <w:tmpl w:val="CC4AC1E6"/>
    <w:lvl w:ilvl="0" w:tplc="8146E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51EF0"/>
    <w:multiLevelType w:val="hybridMultilevel"/>
    <w:tmpl w:val="467218EC"/>
    <w:lvl w:ilvl="0" w:tplc="5A52663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E0FA9"/>
    <w:multiLevelType w:val="hybridMultilevel"/>
    <w:tmpl w:val="22568A02"/>
    <w:lvl w:ilvl="0" w:tplc="D4F8E8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210C4"/>
    <w:multiLevelType w:val="hybridMultilevel"/>
    <w:tmpl w:val="722C9A2C"/>
    <w:lvl w:ilvl="0" w:tplc="2E386E4C">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316E73"/>
    <w:multiLevelType w:val="hybridMultilevel"/>
    <w:tmpl w:val="2632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C2480"/>
    <w:multiLevelType w:val="hybridMultilevel"/>
    <w:tmpl w:val="F52096A6"/>
    <w:lvl w:ilvl="0" w:tplc="552CEF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5C59DB"/>
    <w:multiLevelType w:val="hybridMultilevel"/>
    <w:tmpl w:val="FD7C0D8C"/>
    <w:lvl w:ilvl="0" w:tplc="3B42C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573805">
    <w:abstractNumId w:val="0"/>
  </w:num>
  <w:num w:numId="2" w16cid:durableId="1777288738">
    <w:abstractNumId w:val="2"/>
  </w:num>
  <w:num w:numId="3" w16cid:durableId="1133671761">
    <w:abstractNumId w:val="6"/>
  </w:num>
  <w:num w:numId="4" w16cid:durableId="287321527">
    <w:abstractNumId w:val="11"/>
  </w:num>
  <w:num w:numId="5" w16cid:durableId="199363857">
    <w:abstractNumId w:val="5"/>
  </w:num>
  <w:num w:numId="6" w16cid:durableId="1402871034">
    <w:abstractNumId w:val="3"/>
  </w:num>
  <w:num w:numId="7" w16cid:durableId="1892769714">
    <w:abstractNumId w:val="10"/>
  </w:num>
  <w:num w:numId="8" w16cid:durableId="1603411860">
    <w:abstractNumId w:val="18"/>
  </w:num>
  <w:num w:numId="9" w16cid:durableId="878012660">
    <w:abstractNumId w:val="13"/>
  </w:num>
  <w:num w:numId="10" w16cid:durableId="2017264524">
    <w:abstractNumId w:val="14"/>
  </w:num>
  <w:num w:numId="11" w16cid:durableId="1835026981">
    <w:abstractNumId w:val="8"/>
  </w:num>
  <w:num w:numId="12" w16cid:durableId="1380201413">
    <w:abstractNumId w:val="17"/>
  </w:num>
  <w:num w:numId="13" w16cid:durableId="1745226939">
    <w:abstractNumId w:val="1"/>
  </w:num>
  <w:num w:numId="14" w16cid:durableId="1299073515">
    <w:abstractNumId w:val="7"/>
  </w:num>
  <w:num w:numId="15" w16cid:durableId="1372342037">
    <w:abstractNumId w:val="19"/>
  </w:num>
  <w:num w:numId="16" w16cid:durableId="1897429556">
    <w:abstractNumId w:val="4"/>
  </w:num>
  <w:num w:numId="17" w16cid:durableId="419260296">
    <w:abstractNumId w:val="12"/>
  </w:num>
  <w:num w:numId="18" w16cid:durableId="433551422">
    <w:abstractNumId w:val="9"/>
  </w:num>
  <w:num w:numId="19" w16cid:durableId="963465446">
    <w:abstractNumId w:val="16"/>
  </w:num>
  <w:num w:numId="20" w16cid:durableId="5509207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TQ1MTc0MzQ0NjcyMTdQ0lEKTi0uzszPAykwtawFAH50EGItAAAA"/>
  </w:docVars>
  <w:rsids>
    <w:rsidRoot w:val="00BD02A9"/>
    <w:rsid w:val="000003A5"/>
    <w:rsid w:val="00000A39"/>
    <w:rsid w:val="000028D9"/>
    <w:rsid w:val="00004188"/>
    <w:rsid w:val="00015321"/>
    <w:rsid w:val="000160CC"/>
    <w:rsid w:val="00017368"/>
    <w:rsid w:val="000214C2"/>
    <w:rsid w:val="00022F2D"/>
    <w:rsid w:val="00025FC5"/>
    <w:rsid w:val="00026A33"/>
    <w:rsid w:val="00027C7E"/>
    <w:rsid w:val="000315FC"/>
    <w:rsid w:val="000322CD"/>
    <w:rsid w:val="0003379F"/>
    <w:rsid w:val="000353F0"/>
    <w:rsid w:val="00037879"/>
    <w:rsid w:val="00037E27"/>
    <w:rsid w:val="000413F0"/>
    <w:rsid w:val="00043510"/>
    <w:rsid w:val="000459AD"/>
    <w:rsid w:val="00046CCF"/>
    <w:rsid w:val="00047C89"/>
    <w:rsid w:val="00050A11"/>
    <w:rsid w:val="0005200C"/>
    <w:rsid w:val="0005301D"/>
    <w:rsid w:val="00056DED"/>
    <w:rsid w:val="0006100C"/>
    <w:rsid w:val="00061290"/>
    <w:rsid w:val="0006291F"/>
    <w:rsid w:val="0006641A"/>
    <w:rsid w:val="000666B1"/>
    <w:rsid w:val="000709EA"/>
    <w:rsid w:val="00074754"/>
    <w:rsid w:val="00080E31"/>
    <w:rsid w:val="00082A73"/>
    <w:rsid w:val="00083503"/>
    <w:rsid w:val="000856A3"/>
    <w:rsid w:val="00085B7C"/>
    <w:rsid w:val="00094E7F"/>
    <w:rsid w:val="00095B9E"/>
    <w:rsid w:val="00096743"/>
    <w:rsid w:val="00097683"/>
    <w:rsid w:val="000A6091"/>
    <w:rsid w:val="000A6ACD"/>
    <w:rsid w:val="000A732A"/>
    <w:rsid w:val="000A771D"/>
    <w:rsid w:val="000B0ED7"/>
    <w:rsid w:val="000C052E"/>
    <w:rsid w:val="000C09C6"/>
    <w:rsid w:val="000C4098"/>
    <w:rsid w:val="000C50BD"/>
    <w:rsid w:val="000D1312"/>
    <w:rsid w:val="000D2857"/>
    <w:rsid w:val="000D2E2A"/>
    <w:rsid w:val="000D40E5"/>
    <w:rsid w:val="000D4D5F"/>
    <w:rsid w:val="000D4FF5"/>
    <w:rsid w:val="000D5F0F"/>
    <w:rsid w:val="000E0C1B"/>
    <w:rsid w:val="000E1198"/>
    <w:rsid w:val="000E4031"/>
    <w:rsid w:val="000E4FA1"/>
    <w:rsid w:val="000E713F"/>
    <w:rsid w:val="000E71BC"/>
    <w:rsid w:val="000E7F40"/>
    <w:rsid w:val="000F052F"/>
    <w:rsid w:val="000F15DF"/>
    <w:rsid w:val="000F176F"/>
    <w:rsid w:val="000F2B2D"/>
    <w:rsid w:val="000F4345"/>
    <w:rsid w:val="000F5DA3"/>
    <w:rsid w:val="00102187"/>
    <w:rsid w:val="0011054A"/>
    <w:rsid w:val="00114366"/>
    <w:rsid w:val="001143DD"/>
    <w:rsid w:val="00115B59"/>
    <w:rsid w:val="00116D6E"/>
    <w:rsid w:val="00117395"/>
    <w:rsid w:val="001232A0"/>
    <w:rsid w:val="001233B5"/>
    <w:rsid w:val="00124B1E"/>
    <w:rsid w:val="001305EC"/>
    <w:rsid w:val="001307FB"/>
    <w:rsid w:val="00132E2C"/>
    <w:rsid w:val="00133612"/>
    <w:rsid w:val="0013370F"/>
    <w:rsid w:val="0013477A"/>
    <w:rsid w:val="001347E1"/>
    <w:rsid w:val="0013650F"/>
    <w:rsid w:val="00136892"/>
    <w:rsid w:val="001368E6"/>
    <w:rsid w:val="001369B9"/>
    <w:rsid w:val="001373D8"/>
    <w:rsid w:val="00137628"/>
    <w:rsid w:val="00140316"/>
    <w:rsid w:val="001416DB"/>
    <w:rsid w:val="00141A63"/>
    <w:rsid w:val="0014297A"/>
    <w:rsid w:val="00145146"/>
    <w:rsid w:val="001452E7"/>
    <w:rsid w:val="00147588"/>
    <w:rsid w:val="00147C9A"/>
    <w:rsid w:val="00151D07"/>
    <w:rsid w:val="001568DE"/>
    <w:rsid w:val="0016081B"/>
    <w:rsid w:val="001665AC"/>
    <w:rsid w:val="0017043E"/>
    <w:rsid w:val="00171F57"/>
    <w:rsid w:val="00173E27"/>
    <w:rsid w:val="001746D5"/>
    <w:rsid w:val="0018330B"/>
    <w:rsid w:val="00184E15"/>
    <w:rsid w:val="0018790E"/>
    <w:rsid w:val="00187996"/>
    <w:rsid w:val="00191895"/>
    <w:rsid w:val="00191A5B"/>
    <w:rsid w:val="00192945"/>
    <w:rsid w:val="00194793"/>
    <w:rsid w:val="0019788C"/>
    <w:rsid w:val="001A0B3D"/>
    <w:rsid w:val="001A408F"/>
    <w:rsid w:val="001A4265"/>
    <w:rsid w:val="001A5B29"/>
    <w:rsid w:val="001A5B56"/>
    <w:rsid w:val="001B04BE"/>
    <w:rsid w:val="001B0979"/>
    <w:rsid w:val="001B0DEB"/>
    <w:rsid w:val="001B2E08"/>
    <w:rsid w:val="001B3263"/>
    <w:rsid w:val="001B4441"/>
    <w:rsid w:val="001B7A82"/>
    <w:rsid w:val="001C2A4A"/>
    <w:rsid w:val="001C389B"/>
    <w:rsid w:val="001C6364"/>
    <w:rsid w:val="001C6C04"/>
    <w:rsid w:val="001D09B8"/>
    <w:rsid w:val="001E17EB"/>
    <w:rsid w:val="001E288D"/>
    <w:rsid w:val="001E37B1"/>
    <w:rsid w:val="001E55A0"/>
    <w:rsid w:val="001E60B9"/>
    <w:rsid w:val="001E7DEC"/>
    <w:rsid w:val="001F155A"/>
    <w:rsid w:val="001F2584"/>
    <w:rsid w:val="001F483A"/>
    <w:rsid w:val="001F79E4"/>
    <w:rsid w:val="00200001"/>
    <w:rsid w:val="002012AC"/>
    <w:rsid w:val="00206477"/>
    <w:rsid w:val="002111C4"/>
    <w:rsid w:val="00211857"/>
    <w:rsid w:val="0021496C"/>
    <w:rsid w:val="00214F5C"/>
    <w:rsid w:val="00215E4B"/>
    <w:rsid w:val="0021673C"/>
    <w:rsid w:val="00217B4A"/>
    <w:rsid w:val="00220A6A"/>
    <w:rsid w:val="00221E60"/>
    <w:rsid w:val="002241E5"/>
    <w:rsid w:val="0022657B"/>
    <w:rsid w:val="00226E15"/>
    <w:rsid w:val="002331BF"/>
    <w:rsid w:val="00234E5A"/>
    <w:rsid w:val="00235261"/>
    <w:rsid w:val="00240C02"/>
    <w:rsid w:val="002418F4"/>
    <w:rsid w:val="00241E0D"/>
    <w:rsid w:val="00245B74"/>
    <w:rsid w:val="00251CD6"/>
    <w:rsid w:val="00252C38"/>
    <w:rsid w:val="002540F3"/>
    <w:rsid w:val="00255C5D"/>
    <w:rsid w:val="002560C5"/>
    <w:rsid w:val="002620A4"/>
    <w:rsid w:val="00262BA5"/>
    <w:rsid w:val="002639B3"/>
    <w:rsid w:val="00266252"/>
    <w:rsid w:val="00267FE9"/>
    <w:rsid w:val="002700E7"/>
    <w:rsid w:val="002701C3"/>
    <w:rsid w:val="00272454"/>
    <w:rsid w:val="002728B4"/>
    <w:rsid w:val="00273629"/>
    <w:rsid w:val="00274DE1"/>
    <w:rsid w:val="00281F83"/>
    <w:rsid w:val="0028204A"/>
    <w:rsid w:val="002828F6"/>
    <w:rsid w:val="00284077"/>
    <w:rsid w:val="0028787C"/>
    <w:rsid w:val="00287C6D"/>
    <w:rsid w:val="00290E73"/>
    <w:rsid w:val="002910A8"/>
    <w:rsid w:val="002916B7"/>
    <w:rsid w:val="002940B8"/>
    <w:rsid w:val="002971E5"/>
    <w:rsid w:val="00297716"/>
    <w:rsid w:val="002A1FAE"/>
    <w:rsid w:val="002A2AB4"/>
    <w:rsid w:val="002A365D"/>
    <w:rsid w:val="002A7001"/>
    <w:rsid w:val="002B1A74"/>
    <w:rsid w:val="002B42A4"/>
    <w:rsid w:val="002B5486"/>
    <w:rsid w:val="002B5BBA"/>
    <w:rsid w:val="002C053A"/>
    <w:rsid w:val="002C1C26"/>
    <w:rsid w:val="002C2727"/>
    <w:rsid w:val="002C48A0"/>
    <w:rsid w:val="002C59C0"/>
    <w:rsid w:val="002C6618"/>
    <w:rsid w:val="002D16F5"/>
    <w:rsid w:val="002D307C"/>
    <w:rsid w:val="002D324F"/>
    <w:rsid w:val="002D372C"/>
    <w:rsid w:val="002D3B7A"/>
    <w:rsid w:val="002D66E7"/>
    <w:rsid w:val="002D69F5"/>
    <w:rsid w:val="002D7BC6"/>
    <w:rsid w:val="002E10CA"/>
    <w:rsid w:val="002E1BD5"/>
    <w:rsid w:val="002E318E"/>
    <w:rsid w:val="002F293F"/>
    <w:rsid w:val="002F42B4"/>
    <w:rsid w:val="003010D3"/>
    <w:rsid w:val="003060BE"/>
    <w:rsid w:val="0030703C"/>
    <w:rsid w:val="00310B28"/>
    <w:rsid w:val="0031364B"/>
    <w:rsid w:val="00315222"/>
    <w:rsid w:val="00321E36"/>
    <w:rsid w:val="00322397"/>
    <w:rsid w:val="003228A4"/>
    <w:rsid w:val="00323571"/>
    <w:rsid w:val="00325697"/>
    <w:rsid w:val="00325EB2"/>
    <w:rsid w:val="00332137"/>
    <w:rsid w:val="003335B2"/>
    <w:rsid w:val="00334505"/>
    <w:rsid w:val="00335358"/>
    <w:rsid w:val="003425FF"/>
    <w:rsid w:val="00342DF8"/>
    <w:rsid w:val="003434D9"/>
    <w:rsid w:val="00343533"/>
    <w:rsid w:val="00343B66"/>
    <w:rsid w:val="00350E9E"/>
    <w:rsid w:val="003531E0"/>
    <w:rsid w:val="00353ADB"/>
    <w:rsid w:val="00355F92"/>
    <w:rsid w:val="003562DF"/>
    <w:rsid w:val="0036126E"/>
    <w:rsid w:val="00362A12"/>
    <w:rsid w:val="00362FAA"/>
    <w:rsid w:val="00364B4E"/>
    <w:rsid w:val="00365B2F"/>
    <w:rsid w:val="0036762C"/>
    <w:rsid w:val="003700C6"/>
    <w:rsid w:val="00375339"/>
    <w:rsid w:val="00376052"/>
    <w:rsid w:val="003767A6"/>
    <w:rsid w:val="003807A3"/>
    <w:rsid w:val="00384086"/>
    <w:rsid w:val="0038499C"/>
    <w:rsid w:val="00385475"/>
    <w:rsid w:val="0038553F"/>
    <w:rsid w:val="0038577D"/>
    <w:rsid w:val="00390BC7"/>
    <w:rsid w:val="0039112D"/>
    <w:rsid w:val="00392466"/>
    <w:rsid w:val="00393A3B"/>
    <w:rsid w:val="00396CF5"/>
    <w:rsid w:val="003970A3"/>
    <w:rsid w:val="00397A49"/>
    <w:rsid w:val="003A18AF"/>
    <w:rsid w:val="003A2D22"/>
    <w:rsid w:val="003A3AC6"/>
    <w:rsid w:val="003A3C34"/>
    <w:rsid w:val="003A3DD6"/>
    <w:rsid w:val="003A4F7C"/>
    <w:rsid w:val="003B12A6"/>
    <w:rsid w:val="003B1F02"/>
    <w:rsid w:val="003B21F2"/>
    <w:rsid w:val="003B627A"/>
    <w:rsid w:val="003B6C97"/>
    <w:rsid w:val="003B743B"/>
    <w:rsid w:val="003B7700"/>
    <w:rsid w:val="003B7B8B"/>
    <w:rsid w:val="003C105A"/>
    <w:rsid w:val="003C4B8D"/>
    <w:rsid w:val="003C4EF6"/>
    <w:rsid w:val="003C4F8B"/>
    <w:rsid w:val="003C50AA"/>
    <w:rsid w:val="003C7C3B"/>
    <w:rsid w:val="003C7D60"/>
    <w:rsid w:val="003D0C97"/>
    <w:rsid w:val="003D33E4"/>
    <w:rsid w:val="003D35C2"/>
    <w:rsid w:val="003D565F"/>
    <w:rsid w:val="003D5A3B"/>
    <w:rsid w:val="003D661E"/>
    <w:rsid w:val="003D7096"/>
    <w:rsid w:val="003E7AFD"/>
    <w:rsid w:val="003F0446"/>
    <w:rsid w:val="003F6AB9"/>
    <w:rsid w:val="003F7139"/>
    <w:rsid w:val="00400D1D"/>
    <w:rsid w:val="00400F54"/>
    <w:rsid w:val="00401BE4"/>
    <w:rsid w:val="004023B6"/>
    <w:rsid w:val="00404589"/>
    <w:rsid w:val="00406465"/>
    <w:rsid w:val="00410902"/>
    <w:rsid w:val="0041219A"/>
    <w:rsid w:val="0041282B"/>
    <w:rsid w:val="00412C1A"/>
    <w:rsid w:val="00413661"/>
    <w:rsid w:val="00414C17"/>
    <w:rsid w:val="00415556"/>
    <w:rsid w:val="00415CC8"/>
    <w:rsid w:val="0041646B"/>
    <w:rsid w:val="00416668"/>
    <w:rsid w:val="0042140A"/>
    <w:rsid w:val="00426455"/>
    <w:rsid w:val="00426493"/>
    <w:rsid w:val="00432392"/>
    <w:rsid w:val="0043263F"/>
    <w:rsid w:val="00432ED3"/>
    <w:rsid w:val="004337E3"/>
    <w:rsid w:val="004418A5"/>
    <w:rsid w:val="00442143"/>
    <w:rsid w:val="00445089"/>
    <w:rsid w:val="004512B3"/>
    <w:rsid w:val="004512F8"/>
    <w:rsid w:val="00451867"/>
    <w:rsid w:val="0045285B"/>
    <w:rsid w:val="00453C31"/>
    <w:rsid w:val="004603B2"/>
    <w:rsid w:val="00460404"/>
    <w:rsid w:val="0046207D"/>
    <w:rsid w:val="00463D72"/>
    <w:rsid w:val="00465AA0"/>
    <w:rsid w:val="004662F2"/>
    <w:rsid w:val="0046772E"/>
    <w:rsid w:val="00471D7E"/>
    <w:rsid w:val="004747C3"/>
    <w:rsid w:val="0047496E"/>
    <w:rsid w:val="00474BD3"/>
    <w:rsid w:val="004754C8"/>
    <w:rsid w:val="004756D7"/>
    <w:rsid w:val="004763DC"/>
    <w:rsid w:val="0048451B"/>
    <w:rsid w:val="004849E4"/>
    <w:rsid w:val="004871DC"/>
    <w:rsid w:val="00487375"/>
    <w:rsid w:val="00487D62"/>
    <w:rsid w:val="004912C6"/>
    <w:rsid w:val="004919C9"/>
    <w:rsid w:val="004928B4"/>
    <w:rsid w:val="00492D65"/>
    <w:rsid w:val="00494060"/>
    <w:rsid w:val="00494629"/>
    <w:rsid w:val="00496576"/>
    <w:rsid w:val="00496A20"/>
    <w:rsid w:val="0049773B"/>
    <w:rsid w:val="004A15B6"/>
    <w:rsid w:val="004A1ABB"/>
    <w:rsid w:val="004A3C83"/>
    <w:rsid w:val="004A7BBE"/>
    <w:rsid w:val="004B3D78"/>
    <w:rsid w:val="004B41F1"/>
    <w:rsid w:val="004B4276"/>
    <w:rsid w:val="004B4E01"/>
    <w:rsid w:val="004B4F08"/>
    <w:rsid w:val="004B5B04"/>
    <w:rsid w:val="004C00F9"/>
    <w:rsid w:val="004C12D1"/>
    <w:rsid w:val="004C269F"/>
    <w:rsid w:val="004C385B"/>
    <w:rsid w:val="004C74A0"/>
    <w:rsid w:val="004C7703"/>
    <w:rsid w:val="004C7F1B"/>
    <w:rsid w:val="004D7258"/>
    <w:rsid w:val="004D755F"/>
    <w:rsid w:val="004E154D"/>
    <w:rsid w:val="004E24C1"/>
    <w:rsid w:val="004E2586"/>
    <w:rsid w:val="004E28F9"/>
    <w:rsid w:val="004E2B32"/>
    <w:rsid w:val="004E2DED"/>
    <w:rsid w:val="004E79C0"/>
    <w:rsid w:val="004F1209"/>
    <w:rsid w:val="004F2CCD"/>
    <w:rsid w:val="004F3506"/>
    <w:rsid w:val="004F3F2F"/>
    <w:rsid w:val="004F58E1"/>
    <w:rsid w:val="0050016B"/>
    <w:rsid w:val="00500527"/>
    <w:rsid w:val="0050142F"/>
    <w:rsid w:val="00507679"/>
    <w:rsid w:val="005079F0"/>
    <w:rsid w:val="00510AEC"/>
    <w:rsid w:val="005114A1"/>
    <w:rsid w:val="0051351F"/>
    <w:rsid w:val="00521481"/>
    <w:rsid w:val="0052182F"/>
    <w:rsid w:val="00521CB3"/>
    <w:rsid w:val="0052273D"/>
    <w:rsid w:val="00524B12"/>
    <w:rsid w:val="005267AA"/>
    <w:rsid w:val="00527052"/>
    <w:rsid w:val="00531102"/>
    <w:rsid w:val="00532ECB"/>
    <w:rsid w:val="00535AD0"/>
    <w:rsid w:val="0053664F"/>
    <w:rsid w:val="00536D5A"/>
    <w:rsid w:val="005442E2"/>
    <w:rsid w:val="00544975"/>
    <w:rsid w:val="00545E2B"/>
    <w:rsid w:val="00546020"/>
    <w:rsid w:val="005522E4"/>
    <w:rsid w:val="0055487F"/>
    <w:rsid w:val="00555236"/>
    <w:rsid w:val="00555976"/>
    <w:rsid w:val="00560362"/>
    <w:rsid w:val="0056109E"/>
    <w:rsid w:val="00562274"/>
    <w:rsid w:val="00563B42"/>
    <w:rsid w:val="005709EA"/>
    <w:rsid w:val="00576724"/>
    <w:rsid w:val="005773EB"/>
    <w:rsid w:val="00577AAE"/>
    <w:rsid w:val="00584B85"/>
    <w:rsid w:val="00584F3E"/>
    <w:rsid w:val="00587BD2"/>
    <w:rsid w:val="00587E2E"/>
    <w:rsid w:val="005900A6"/>
    <w:rsid w:val="0059194A"/>
    <w:rsid w:val="00591E0D"/>
    <w:rsid w:val="00595F98"/>
    <w:rsid w:val="00596E5D"/>
    <w:rsid w:val="0059791F"/>
    <w:rsid w:val="005A67D2"/>
    <w:rsid w:val="005A7BF3"/>
    <w:rsid w:val="005B1DBA"/>
    <w:rsid w:val="005B2D3B"/>
    <w:rsid w:val="005B4194"/>
    <w:rsid w:val="005B4AFA"/>
    <w:rsid w:val="005B6969"/>
    <w:rsid w:val="005B7A8C"/>
    <w:rsid w:val="005B7BD3"/>
    <w:rsid w:val="005C0064"/>
    <w:rsid w:val="005C0367"/>
    <w:rsid w:val="005C122F"/>
    <w:rsid w:val="005C1EDB"/>
    <w:rsid w:val="005C418A"/>
    <w:rsid w:val="005C440A"/>
    <w:rsid w:val="005C482E"/>
    <w:rsid w:val="005D14AC"/>
    <w:rsid w:val="005D38AD"/>
    <w:rsid w:val="005D44F6"/>
    <w:rsid w:val="005D5B42"/>
    <w:rsid w:val="005E2C25"/>
    <w:rsid w:val="005F0342"/>
    <w:rsid w:val="005F16E8"/>
    <w:rsid w:val="005F18AC"/>
    <w:rsid w:val="005F4A84"/>
    <w:rsid w:val="005F7F92"/>
    <w:rsid w:val="00600EFA"/>
    <w:rsid w:val="006033B2"/>
    <w:rsid w:val="0060431E"/>
    <w:rsid w:val="006043A9"/>
    <w:rsid w:val="00604853"/>
    <w:rsid w:val="00605465"/>
    <w:rsid w:val="0060776B"/>
    <w:rsid w:val="00610668"/>
    <w:rsid w:val="00613A55"/>
    <w:rsid w:val="00614F06"/>
    <w:rsid w:val="00615593"/>
    <w:rsid w:val="00620A0F"/>
    <w:rsid w:val="006224DB"/>
    <w:rsid w:val="006230D4"/>
    <w:rsid w:val="00624A5A"/>
    <w:rsid w:val="006251D9"/>
    <w:rsid w:val="006341BA"/>
    <w:rsid w:val="00634585"/>
    <w:rsid w:val="00634C64"/>
    <w:rsid w:val="00635E9C"/>
    <w:rsid w:val="00635FCE"/>
    <w:rsid w:val="00636443"/>
    <w:rsid w:val="00637EC2"/>
    <w:rsid w:val="00641C0F"/>
    <w:rsid w:val="00645407"/>
    <w:rsid w:val="00650661"/>
    <w:rsid w:val="0065457B"/>
    <w:rsid w:val="0066068D"/>
    <w:rsid w:val="00660CC4"/>
    <w:rsid w:val="00662D9A"/>
    <w:rsid w:val="006630E8"/>
    <w:rsid w:val="00664C7B"/>
    <w:rsid w:val="00665768"/>
    <w:rsid w:val="00673E7E"/>
    <w:rsid w:val="006754FA"/>
    <w:rsid w:val="00675EC0"/>
    <w:rsid w:val="00676C97"/>
    <w:rsid w:val="00681CE4"/>
    <w:rsid w:val="006821D8"/>
    <w:rsid w:val="00683C84"/>
    <w:rsid w:val="006878A8"/>
    <w:rsid w:val="00687A77"/>
    <w:rsid w:val="00690A38"/>
    <w:rsid w:val="00690DAC"/>
    <w:rsid w:val="006913BF"/>
    <w:rsid w:val="00691565"/>
    <w:rsid w:val="00693211"/>
    <w:rsid w:val="0069369C"/>
    <w:rsid w:val="00695C15"/>
    <w:rsid w:val="0069606E"/>
    <w:rsid w:val="006A3C81"/>
    <w:rsid w:val="006B09D9"/>
    <w:rsid w:val="006B2286"/>
    <w:rsid w:val="006B22D1"/>
    <w:rsid w:val="006B48CF"/>
    <w:rsid w:val="006B4D62"/>
    <w:rsid w:val="006B703E"/>
    <w:rsid w:val="006B7623"/>
    <w:rsid w:val="006C2BE8"/>
    <w:rsid w:val="006C5EF3"/>
    <w:rsid w:val="006C5F96"/>
    <w:rsid w:val="006C628F"/>
    <w:rsid w:val="006C7A99"/>
    <w:rsid w:val="006D01EB"/>
    <w:rsid w:val="006D1B1F"/>
    <w:rsid w:val="006D1F46"/>
    <w:rsid w:val="006D24DC"/>
    <w:rsid w:val="006D356E"/>
    <w:rsid w:val="006D5BF9"/>
    <w:rsid w:val="006D6258"/>
    <w:rsid w:val="006E0F1D"/>
    <w:rsid w:val="006E42A1"/>
    <w:rsid w:val="006E51FA"/>
    <w:rsid w:val="006E5AF5"/>
    <w:rsid w:val="006E5C5D"/>
    <w:rsid w:val="006E7504"/>
    <w:rsid w:val="006F0713"/>
    <w:rsid w:val="006F3F1B"/>
    <w:rsid w:val="006F71D6"/>
    <w:rsid w:val="006F7434"/>
    <w:rsid w:val="00702328"/>
    <w:rsid w:val="00704A1E"/>
    <w:rsid w:val="00705316"/>
    <w:rsid w:val="0070534D"/>
    <w:rsid w:val="00707A97"/>
    <w:rsid w:val="00710256"/>
    <w:rsid w:val="00713AB3"/>
    <w:rsid w:val="00715B57"/>
    <w:rsid w:val="00716A0C"/>
    <w:rsid w:val="007210C2"/>
    <w:rsid w:val="007224B9"/>
    <w:rsid w:val="00722ACA"/>
    <w:rsid w:val="007331E8"/>
    <w:rsid w:val="00734033"/>
    <w:rsid w:val="00734E35"/>
    <w:rsid w:val="00736A13"/>
    <w:rsid w:val="007379D0"/>
    <w:rsid w:val="0074063A"/>
    <w:rsid w:val="00740A01"/>
    <w:rsid w:val="0074170A"/>
    <w:rsid w:val="00743E97"/>
    <w:rsid w:val="007467F6"/>
    <w:rsid w:val="00747B68"/>
    <w:rsid w:val="007500E8"/>
    <w:rsid w:val="00751315"/>
    <w:rsid w:val="00755149"/>
    <w:rsid w:val="00755310"/>
    <w:rsid w:val="007572CC"/>
    <w:rsid w:val="00763492"/>
    <w:rsid w:val="00763ED2"/>
    <w:rsid w:val="00764C9B"/>
    <w:rsid w:val="007654CD"/>
    <w:rsid w:val="007671A9"/>
    <w:rsid w:val="007678C5"/>
    <w:rsid w:val="007741E5"/>
    <w:rsid w:val="00781B6F"/>
    <w:rsid w:val="0078292A"/>
    <w:rsid w:val="007836E3"/>
    <w:rsid w:val="007851CF"/>
    <w:rsid w:val="007911B1"/>
    <w:rsid w:val="0079735A"/>
    <w:rsid w:val="007A5171"/>
    <w:rsid w:val="007A63F6"/>
    <w:rsid w:val="007A75D0"/>
    <w:rsid w:val="007A7815"/>
    <w:rsid w:val="007B12D5"/>
    <w:rsid w:val="007B3481"/>
    <w:rsid w:val="007B395C"/>
    <w:rsid w:val="007B6C03"/>
    <w:rsid w:val="007B6E8C"/>
    <w:rsid w:val="007C0779"/>
    <w:rsid w:val="007C189E"/>
    <w:rsid w:val="007C2B70"/>
    <w:rsid w:val="007C34AD"/>
    <w:rsid w:val="007C479D"/>
    <w:rsid w:val="007C4A1B"/>
    <w:rsid w:val="007C56DA"/>
    <w:rsid w:val="007C64E0"/>
    <w:rsid w:val="007D023A"/>
    <w:rsid w:val="007D11C8"/>
    <w:rsid w:val="007D15AD"/>
    <w:rsid w:val="007D55A6"/>
    <w:rsid w:val="007D71BD"/>
    <w:rsid w:val="007E1666"/>
    <w:rsid w:val="007E1A0B"/>
    <w:rsid w:val="007E4225"/>
    <w:rsid w:val="007E48DF"/>
    <w:rsid w:val="007E7748"/>
    <w:rsid w:val="007F0F8C"/>
    <w:rsid w:val="007F2895"/>
    <w:rsid w:val="007F390C"/>
    <w:rsid w:val="007F39B4"/>
    <w:rsid w:val="007F7770"/>
    <w:rsid w:val="008002C0"/>
    <w:rsid w:val="008037D0"/>
    <w:rsid w:val="008056EE"/>
    <w:rsid w:val="00806CA6"/>
    <w:rsid w:val="0081080C"/>
    <w:rsid w:val="008108DC"/>
    <w:rsid w:val="00810F3C"/>
    <w:rsid w:val="0081158F"/>
    <w:rsid w:val="0081509D"/>
    <w:rsid w:val="00815470"/>
    <w:rsid w:val="0081771F"/>
    <w:rsid w:val="0082023A"/>
    <w:rsid w:val="008215C1"/>
    <w:rsid w:val="00821DBD"/>
    <w:rsid w:val="0082344E"/>
    <w:rsid w:val="00824646"/>
    <w:rsid w:val="00824A2B"/>
    <w:rsid w:val="0082551B"/>
    <w:rsid w:val="0082631F"/>
    <w:rsid w:val="00835DD8"/>
    <w:rsid w:val="008363D4"/>
    <w:rsid w:val="0083672D"/>
    <w:rsid w:val="00841FDE"/>
    <w:rsid w:val="00843368"/>
    <w:rsid w:val="00843B1E"/>
    <w:rsid w:val="00844875"/>
    <w:rsid w:val="008504C2"/>
    <w:rsid w:val="00850D33"/>
    <w:rsid w:val="00850D4C"/>
    <w:rsid w:val="00851561"/>
    <w:rsid w:val="00852A29"/>
    <w:rsid w:val="00854CCB"/>
    <w:rsid w:val="00864780"/>
    <w:rsid w:val="0086483D"/>
    <w:rsid w:val="0086598E"/>
    <w:rsid w:val="00865F46"/>
    <w:rsid w:val="00867767"/>
    <w:rsid w:val="00867EF2"/>
    <w:rsid w:val="0087001C"/>
    <w:rsid w:val="00876E8C"/>
    <w:rsid w:val="00877B8A"/>
    <w:rsid w:val="00881832"/>
    <w:rsid w:val="00882E92"/>
    <w:rsid w:val="00882F85"/>
    <w:rsid w:val="00884536"/>
    <w:rsid w:val="008868C7"/>
    <w:rsid w:val="0088784F"/>
    <w:rsid w:val="008915F6"/>
    <w:rsid w:val="00893DA2"/>
    <w:rsid w:val="00894DD4"/>
    <w:rsid w:val="00897EBE"/>
    <w:rsid w:val="00897F6F"/>
    <w:rsid w:val="008A2737"/>
    <w:rsid w:val="008A2F8A"/>
    <w:rsid w:val="008A328F"/>
    <w:rsid w:val="008A590F"/>
    <w:rsid w:val="008A70ED"/>
    <w:rsid w:val="008A7621"/>
    <w:rsid w:val="008B02C1"/>
    <w:rsid w:val="008B1DFC"/>
    <w:rsid w:val="008B2735"/>
    <w:rsid w:val="008B70BF"/>
    <w:rsid w:val="008B7DCC"/>
    <w:rsid w:val="008C1D64"/>
    <w:rsid w:val="008C1E1F"/>
    <w:rsid w:val="008C7135"/>
    <w:rsid w:val="008D272A"/>
    <w:rsid w:val="008D4102"/>
    <w:rsid w:val="008D5B1C"/>
    <w:rsid w:val="008D7C57"/>
    <w:rsid w:val="008E275F"/>
    <w:rsid w:val="008E2E2A"/>
    <w:rsid w:val="008E3EF5"/>
    <w:rsid w:val="008E4D68"/>
    <w:rsid w:val="008E78C6"/>
    <w:rsid w:val="008F476C"/>
    <w:rsid w:val="008F68A2"/>
    <w:rsid w:val="00904B36"/>
    <w:rsid w:val="00911331"/>
    <w:rsid w:val="00911E8C"/>
    <w:rsid w:val="009150D7"/>
    <w:rsid w:val="00915356"/>
    <w:rsid w:val="00915431"/>
    <w:rsid w:val="00915E34"/>
    <w:rsid w:val="0091617C"/>
    <w:rsid w:val="00916549"/>
    <w:rsid w:val="00916B30"/>
    <w:rsid w:val="00917958"/>
    <w:rsid w:val="009201CF"/>
    <w:rsid w:val="00924775"/>
    <w:rsid w:val="00927D76"/>
    <w:rsid w:val="00930410"/>
    <w:rsid w:val="0093079F"/>
    <w:rsid w:val="0093252C"/>
    <w:rsid w:val="009327D0"/>
    <w:rsid w:val="00935EF5"/>
    <w:rsid w:val="00940F60"/>
    <w:rsid w:val="00941E98"/>
    <w:rsid w:val="009424F3"/>
    <w:rsid w:val="0094263F"/>
    <w:rsid w:val="00944A97"/>
    <w:rsid w:val="009571B1"/>
    <w:rsid w:val="00957320"/>
    <w:rsid w:val="009612A1"/>
    <w:rsid w:val="0096181D"/>
    <w:rsid w:val="009624DE"/>
    <w:rsid w:val="0096545D"/>
    <w:rsid w:val="009668F8"/>
    <w:rsid w:val="00967200"/>
    <w:rsid w:val="00972E4C"/>
    <w:rsid w:val="00974308"/>
    <w:rsid w:val="00974460"/>
    <w:rsid w:val="00975B0E"/>
    <w:rsid w:val="00976428"/>
    <w:rsid w:val="009777FC"/>
    <w:rsid w:val="00980AB7"/>
    <w:rsid w:val="00984FDE"/>
    <w:rsid w:val="00985317"/>
    <w:rsid w:val="00990A57"/>
    <w:rsid w:val="0099102F"/>
    <w:rsid w:val="009938C6"/>
    <w:rsid w:val="00993B64"/>
    <w:rsid w:val="009957DB"/>
    <w:rsid w:val="00997859"/>
    <w:rsid w:val="009A4112"/>
    <w:rsid w:val="009A42C9"/>
    <w:rsid w:val="009A67ED"/>
    <w:rsid w:val="009A7B23"/>
    <w:rsid w:val="009B0E37"/>
    <w:rsid w:val="009B1353"/>
    <w:rsid w:val="009B1AB2"/>
    <w:rsid w:val="009B2A17"/>
    <w:rsid w:val="009C0D6C"/>
    <w:rsid w:val="009C1BDD"/>
    <w:rsid w:val="009C47E1"/>
    <w:rsid w:val="009C5AFE"/>
    <w:rsid w:val="009C7E29"/>
    <w:rsid w:val="009D3139"/>
    <w:rsid w:val="009E3731"/>
    <w:rsid w:val="009E4EDA"/>
    <w:rsid w:val="009E6D21"/>
    <w:rsid w:val="009F0A24"/>
    <w:rsid w:val="009F0C78"/>
    <w:rsid w:val="009F398F"/>
    <w:rsid w:val="009F3FFF"/>
    <w:rsid w:val="009F5BA0"/>
    <w:rsid w:val="009F7B70"/>
    <w:rsid w:val="00A034EC"/>
    <w:rsid w:val="00A05E48"/>
    <w:rsid w:val="00A06688"/>
    <w:rsid w:val="00A13E61"/>
    <w:rsid w:val="00A16E16"/>
    <w:rsid w:val="00A16F95"/>
    <w:rsid w:val="00A17EC7"/>
    <w:rsid w:val="00A21F89"/>
    <w:rsid w:val="00A232F0"/>
    <w:rsid w:val="00A265BE"/>
    <w:rsid w:val="00A27340"/>
    <w:rsid w:val="00A27870"/>
    <w:rsid w:val="00A320D1"/>
    <w:rsid w:val="00A3334F"/>
    <w:rsid w:val="00A41295"/>
    <w:rsid w:val="00A413B7"/>
    <w:rsid w:val="00A41531"/>
    <w:rsid w:val="00A438D8"/>
    <w:rsid w:val="00A606E7"/>
    <w:rsid w:val="00A61042"/>
    <w:rsid w:val="00A61063"/>
    <w:rsid w:val="00A61C80"/>
    <w:rsid w:val="00A63133"/>
    <w:rsid w:val="00A661E2"/>
    <w:rsid w:val="00A723FB"/>
    <w:rsid w:val="00A74D38"/>
    <w:rsid w:val="00A75A47"/>
    <w:rsid w:val="00A80594"/>
    <w:rsid w:val="00A812A0"/>
    <w:rsid w:val="00A81380"/>
    <w:rsid w:val="00A82504"/>
    <w:rsid w:val="00A8547A"/>
    <w:rsid w:val="00A90D27"/>
    <w:rsid w:val="00A91B00"/>
    <w:rsid w:val="00A9253D"/>
    <w:rsid w:val="00A92E55"/>
    <w:rsid w:val="00A94595"/>
    <w:rsid w:val="00A94B00"/>
    <w:rsid w:val="00A95682"/>
    <w:rsid w:val="00A96078"/>
    <w:rsid w:val="00AA10BC"/>
    <w:rsid w:val="00AA110B"/>
    <w:rsid w:val="00AA33D1"/>
    <w:rsid w:val="00AA4B57"/>
    <w:rsid w:val="00AA4DE7"/>
    <w:rsid w:val="00AA5144"/>
    <w:rsid w:val="00AA5C6A"/>
    <w:rsid w:val="00AA6080"/>
    <w:rsid w:val="00AB0095"/>
    <w:rsid w:val="00AB09D6"/>
    <w:rsid w:val="00AB4EA7"/>
    <w:rsid w:val="00AB63DD"/>
    <w:rsid w:val="00AB7A25"/>
    <w:rsid w:val="00AC1128"/>
    <w:rsid w:val="00AC4A08"/>
    <w:rsid w:val="00AC576E"/>
    <w:rsid w:val="00AC5990"/>
    <w:rsid w:val="00AD20E5"/>
    <w:rsid w:val="00AD2838"/>
    <w:rsid w:val="00AD3FAF"/>
    <w:rsid w:val="00AD5FCB"/>
    <w:rsid w:val="00AE0041"/>
    <w:rsid w:val="00AE03F0"/>
    <w:rsid w:val="00AE0DA5"/>
    <w:rsid w:val="00AE3A96"/>
    <w:rsid w:val="00AE3BC7"/>
    <w:rsid w:val="00AE62C3"/>
    <w:rsid w:val="00AF22D5"/>
    <w:rsid w:val="00AF413B"/>
    <w:rsid w:val="00AF4B5E"/>
    <w:rsid w:val="00AF562E"/>
    <w:rsid w:val="00AF68EE"/>
    <w:rsid w:val="00AF727F"/>
    <w:rsid w:val="00B000D8"/>
    <w:rsid w:val="00B035A3"/>
    <w:rsid w:val="00B0407B"/>
    <w:rsid w:val="00B04646"/>
    <w:rsid w:val="00B048D1"/>
    <w:rsid w:val="00B103E2"/>
    <w:rsid w:val="00B10AA2"/>
    <w:rsid w:val="00B112D3"/>
    <w:rsid w:val="00B13307"/>
    <w:rsid w:val="00B13C16"/>
    <w:rsid w:val="00B1401D"/>
    <w:rsid w:val="00B14667"/>
    <w:rsid w:val="00B14CD8"/>
    <w:rsid w:val="00B14D98"/>
    <w:rsid w:val="00B15BCE"/>
    <w:rsid w:val="00B15C10"/>
    <w:rsid w:val="00B1645E"/>
    <w:rsid w:val="00B233E3"/>
    <w:rsid w:val="00B23E09"/>
    <w:rsid w:val="00B25955"/>
    <w:rsid w:val="00B26153"/>
    <w:rsid w:val="00B265AE"/>
    <w:rsid w:val="00B32985"/>
    <w:rsid w:val="00B34045"/>
    <w:rsid w:val="00B3548F"/>
    <w:rsid w:val="00B36654"/>
    <w:rsid w:val="00B400D4"/>
    <w:rsid w:val="00B414B2"/>
    <w:rsid w:val="00B44EB5"/>
    <w:rsid w:val="00B4763D"/>
    <w:rsid w:val="00B513E6"/>
    <w:rsid w:val="00B52460"/>
    <w:rsid w:val="00B52930"/>
    <w:rsid w:val="00B52E6F"/>
    <w:rsid w:val="00B559D1"/>
    <w:rsid w:val="00B55C59"/>
    <w:rsid w:val="00B56443"/>
    <w:rsid w:val="00B56A4F"/>
    <w:rsid w:val="00B56BB0"/>
    <w:rsid w:val="00B56BD1"/>
    <w:rsid w:val="00B62950"/>
    <w:rsid w:val="00B6540C"/>
    <w:rsid w:val="00B6709A"/>
    <w:rsid w:val="00B70721"/>
    <w:rsid w:val="00B7194B"/>
    <w:rsid w:val="00B756AA"/>
    <w:rsid w:val="00B83E16"/>
    <w:rsid w:val="00B91C7E"/>
    <w:rsid w:val="00B92EFF"/>
    <w:rsid w:val="00B95EA7"/>
    <w:rsid w:val="00BA04D7"/>
    <w:rsid w:val="00BA1605"/>
    <w:rsid w:val="00BA2AEC"/>
    <w:rsid w:val="00BA5BA0"/>
    <w:rsid w:val="00BB262E"/>
    <w:rsid w:val="00BB2D8B"/>
    <w:rsid w:val="00BB7B15"/>
    <w:rsid w:val="00BC25FA"/>
    <w:rsid w:val="00BC27EA"/>
    <w:rsid w:val="00BC5EEC"/>
    <w:rsid w:val="00BC65BD"/>
    <w:rsid w:val="00BC68FC"/>
    <w:rsid w:val="00BD02A9"/>
    <w:rsid w:val="00BD1181"/>
    <w:rsid w:val="00BD147C"/>
    <w:rsid w:val="00BD1DF6"/>
    <w:rsid w:val="00BD2FBC"/>
    <w:rsid w:val="00BD32C1"/>
    <w:rsid w:val="00BD4F4C"/>
    <w:rsid w:val="00BD7195"/>
    <w:rsid w:val="00BE10E0"/>
    <w:rsid w:val="00BE126F"/>
    <w:rsid w:val="00BE221D"/>
    <w:rsid w:val="00BE42DE"/>
    <w:rsid w:val="00BF0840"/>
    <w:rsid w:val="00BF1208"/>
    <w:rsid w:val="00BF39BD"/>
    <w:rsid w:val="00BF4227"/>
    <w:rsid w:val="00BF4E79"/>
    <w:rsid w:val="00BF4FB6"/>
    <w:rsid w:val="00BF5564"/>
    <w:rsid w:val="00BF6DB7"/>
    <w:rsid w:val="00C0228F"/>
    <w:rsid w:val="00C0412E"/>
    <w:rsid w:val="00C065E5"/>
    <w:rsid w:val="00C070E9"/>
    <w:rsid w:val="00C11C8D"/>
    <w:rsid w:val="00C1215B"/>
    <w:rsid w:val="00C133E7"/>
    <w:rsid w:val="00C13573"/>
    <w:rsid w:val="00C1442E"/>
    <w:rsid w:val="00C14D62"/>
    <w:rsid w:val="00C15602"/>
    <w:rsid w:val="00C15A01"/>
    <w:rsid w:val="00C17BDE"/>
    <w:rsid w:val="00C17CCC"/>
    <w:rsid w:val="00C224EA"/>
    <w:rsid w:val="00C2291D"/>
    <w:rsid w:val="00C22AFE"/>
    <w:rsid w:val="00C232B8"/>
    <w:rsid w:val="00C23F12"/>
    <w:rsid w:val="00C24FC9"/>
    <w:rsid w:val="00C25068"/>
    <w:rsid w:val="00C30028"/>
    <w:rsid w:val="00C30637"/>
    <w:rsid w:val="00C33EE5"/>
    <w:rsid w:val="00C36073"/>
    <w:rsid w:val="00C4209A"/>
    <w:rsid w:val="00C47D88"/>
    <w:rsid w:val="00C50914"/>
    <w:rsid w:val="00C50A8F"/>
    <w:rsid w:val="00C510DA"/>
    <w:rsid w:val="00C51971"/>
    <w:rsid w:val="00C5290B"/>
    <w:rsid w:val="00C55F70"/>
    <w:rsid w:val="00C56A9E"/>
    <w:rsid w:val="00C628E4"/>
    <w:rsid w:val="00C62E7A"/>
    <w:rsid w:val="00C653D7"/>
    <w:rsid w:val="00C71E48"/>
    <w:rsid w:val="00C72471"/>
    <w:rsid w:val="00C73630"/>
    <w:rsid w:val="00C752EA"/>
    <w:rsid w:val="00C80F66"/>
    <w:rsid w:val="00C846B2"/>
    <w:rsid w:val="00C84C7B"/>
    <w:rsid w:val="00C86526"/>
    <w:rsid w:val="00C916F7"/>
    <w:rsid w:val="00C94313"/>
    <w:rsid w:val="00C95605"/>
    <w:rsid w:val="00C95CF8"/>
    <w:rsid w:val="00C97C0B"/>
    <w:rsid w:val="00CA0E52"/>
    <w:rsid w:val="00CA1322"/>
    <w:rsid w:val="00CA3F6F"/>
    <w:rsid w:val="00CA4A4A"/>
    <w:rsid w:val="00CA532C"/>
    <w:rsid w:val="00CA53CA"/>
    <w:rsid w:val="00CA543A"/>
    <w:rsid w:val="00CA5A11"/>
    <w:rsid w:val="00CA63F5"/>
    <w:rsid w:val="00CA71AE"/>
    <w:rsid w:val="00CB06CE"/>
    <w:rsid w:val="00CB0F21"/>
    <w:rsid w:val="00CB217C"/>
    <w:rsid w:val="00CB2EB4"/>
    <w:rsid w:val="00CB3276"/>
    <w:rsid w:val="00CB3BDA"/>
    <w:rsid w:val="00CB49CC"/>
    <w:rsid w:val="00CB606F"/>
    <w:rsid w:val="00CB74CF"/>
    <w:rsid w:val="00CC05A8"/>
    <w:rsid w:val="00CC246B"/>
    <w:rsid w:val="00CC4FAB"/>
    <w:rsid w:val="00CD1D5D"/>
    <w:rsid w:val="00CD4900"/>
    <w:rsid w:val="00CD60E0"/>
    <w:rsid w:val="00CD7F8A"/>
    <w:rsid w:val="00CE0A11"/>
    <w:rsid w:val="00CE27D4"/>
    <w:rsid w:val="00CE3BBF"/>
    <w:rsid w:val="00CE468F"/>
    <w:rsid w:val="00CE660B"/>
    <w:rsid w:val="00CE75A3"/>
    <w:rsid w:val="00CF3253"/>
    <w:rsid w:val="00D00A57"/>
    <w:rsid w:val="00D02E5D"/>
    <w:rsid w:val="00D1011F"/>
    <w:rsid w:val="00D14E98"/>
    <w:rsid w:val="00D16CAB"/>
    <w:rsid w:val="00D16DEB"/>
    <w:rsid w:val="00D203EC"/>
    <w:rsid w:val="00D23182"/>
    <w:rsid w:val="00D24F1A"/>
    <w:rsid w:val="00D2559A"/>
    <w:rsid w:val="00D27D76"/>
    <w:rsid w:val="00D30291"/>
    <w:rsid w:val="00D32A27"/>
    <w:rsid w:val="00D378C1"/>
    <w:rsid w:val="00D37B30"/>
    <w:rsid w:val="00D40CA5"/>
    <w:rsid w:val="00D411CA"/>
    <w:rsid w:val="00D43EB2"/>
    <w:rsid w:val="00D4654E"/>
    <w:rsid w:val="00D471D0"/>
    <w:rsid w:val="00D54570"/>
    <w:rsid w:val="00D56095"/>
    <w:rsid w:val="00D57E88"/>
    <w:rsid w:val="00D643A9"/>
    <w:rsid w:val="00D65076"/>
    <w:rsid w:val="00D661A8"/>
    <w:rsid w:val="00D66922"/>
    <w:rsid w:val="00D674E1"/>
    <w:rsid w:val="00D7008E"/>
    <w:rsid w:val="00D70741"/>
    <w:rsid w:val="00D70DFD"/>
    <w:rsid w:val="00D745E8"/>
    <w:rsid w:val="00D74AE0"/>
    <w:rsid w:val="00D760CE"/>
    <w:rsid w:val="00D761BE"/>
    <w:rsid w:val="00D766E8"/>
    <w:rsid w:val="00D80E8A"/>
    <w:rsid w:val="00D86079"/>
    <w:rsid w:val="00D86D26"/>
    <w:rsid w:val="00D87BF5"/>
    <w:rsid w:val="00D87E23"/>
    <w:rsid w:val="00D90941"/>
    <w:rsid w:val="00D91717"/>
    <w:rsid w:val="00D93782"/>
    <w:rsid w:val="00D96342"/>
    <w:rsid w:val="00D97B65"/>
    <w:rsid w:val="00DA1273"/>
    <w:rsid w:val="00DA56F4"/>
    <w:rsid w:val="00DA61CC"/>
    <w:rsid w:val="00DA78C1"/>
    <w:rsid w:val="00DB0D2D"/>
    <w:rsid w:val="00DB0E4B"/>
    <w:rsid w:val="00DB1395"/>
    <w:rsid w:val="00DB4F1A"/>
    <w:rsid w:val="00DB5E5D"/>
    <w:rsid w:val="00DB7691"/>
    <w:rsid w:val="00DC56EC"/>
    <w:rsid w:val="00DC706B"/>
    <w:rsid w:val="00DC77AD"/>
    <w:rsid w:val="00DD3245"/>
    <w:rsid w:val="00DD4355"/>
    <w:rsid w:val="00DD5022"/>
    <w:rsid w:val="00DD52F0"/>
    <w:rsid w:val="00DD6A37"/>
    <w:rsid w:val="00DD7E54"/>
    <w:rsid w:val="00DE1B44"/>
    <w:rsid w:val="00DE2818"/>
    <w:rsid w:val="00DE5694"/>
    <w:rsid w:val="00DE691B"/>
    <w:rsid w:val="00DF2F42"/>
    <w:rsid w:val="00DF4277"/>
    <w:rsid w:val="00DF4FC1"/>
    <w:rsid w:val="00DF5D5D"/>
    <w:rsid w:val="00DF6926"/>
    <w:rsid w:val="00E00494"/>
    <w:rsid w:val="00E00EB4"/>
    <w:rsid w:val="00E01904"/>
    <w:rsid w:val="00E029A2"/>
    <w:rsid w:val="00E0390D"/>
    <w:rsid w:val="00E03C12"/>
    <w:rsid w:val="00E04CF9"/>
    <w:rsid w:val="00E06F03"/>
    <w:rsid w:val="00E11507"/>
    <w:rsid w:val="00E1247F"/>
    <w:rsid w:val="00E13A1D"/>
    <w:rsid w:val="00E16295"/>
    <w:rsid w:val="00E20583"/>
    <w:rsid w:val="00E21E69"/>
    <w:rsid w:val="00E24435"/>
    <w:rsid w:val="00E24D44"/>
    <w:rsid w:val="00E261FE"/>
    <w:rsid w:val="00E263FA"/>
    <w:rsid w:val="00E27917"/>
    <w:rsid w:val="00E27CE3"/>
    <w:rsid w:val="00E31A19"/>
    <w:rsid w:val="00E31AE1"/>
    <w:rsid w:val="00E36A32"/>
    <w:rsid w:val="00E36B1E"/>
    <w:rsid w:val="00E36B6F"/>
    <w:rsid w:val="00E3798F"/>
    <w:rsid w:val="00E425E5"/>
    <w:rsid w:val="00E42D61"/>
    <w:rsid w:val="00E4502A"/>
    <w:rsid w:val="00E46CBA"/>
    <w:rsid w:val="00E475D9"/>
    <w:rsid w:val="00E51128"/>
    <w:rsid w:val="00E52733"/>
    <w:rsid w:val="00E6064F"/>
    <w:rsid w:val="00E625F6"/>
    <w:rsid w:val="00E62B76"/>
    <w:rsid w:val="00E64254"/>
    <w:rsid w:val="00E71143"/>
    <w:rsid w:val="00E8293E"/>
    <w:rsid w:val="00E845B8"/>
    <w:rsid w:val="00E845B9"/>
    <w:rsid w:val="00E90421"/>
    <w:rsid w:val="00E915A2"/>
    <w:rsid w:val="00E91797"/>
    <w:rsid w:val="00E9179A"/>
    <w:rsid w:val="00E94F4E"/>
    <w:rsid w:val="00E96A13"/>
    <w:rsid w:val="00E974DA"/>
    <w:rsid w:val="00EA065F"/>
    <w:rsid w:val="00EA1A4C"/>
    <w:rsid w:val="00EA2937"/>
    <w:rsid w:val="00EA5A34"/>
    <w:rsid w:val="00EA5A9D"/>
    <w:rsid w:val="00EA6DA1"/>
    <w:rsid w:val="00EA7A57"/>
    <w:rsid w:val="00EB2334"/>
    <w:rsid w:val="00EB3294"/>
    <w:rsid w:val="00EB5399"/>
    <w:rsid w:val="00EC188A"/>
    <w:rsid w:val="00EC7B02"/>
    <w:rsid w:val="00EC7B0D"/>
    <w:rsid w:val="00ED0642"/>
    <w:rsid w:val="00ED1920"/>
    <w:rsid w:val="00ED1B2F"/>
    <w:rsid w:val="00ED1EE9"/>
    <w:rsid w:val="00ED31CF"/>
    <w:rsid w:val="00ED449D"/>
    <w:rsid w:val="00ED6631"/>
    <w:rsid w:val="00EE006E"/>
    <w:rsid w:val="00EE41E4"/>
    <w:rsid w:val="00EE4EEF"/>
    <w:rsid w:val="00EE67C9"/>
    <w:rsid w:val="00EE68C8"/>
    <w:rsid w:val="00EF22E0"/>
    <w:rsid w:val="00EF2C62"/>
    <w:rsid w:val="00EF3805"/>
    <w:rsid w:val="00EF5748"/>
    <w:rsid w:val="00EF640F"/>
    <w:rsid w:val="00EF788B"/>
    <w:rsid w:val="00F03EAA"/>
    <w:rsid w:val="00F079C2"/>
    <w:rsid w:val="00F111F2"/>
    <w:rsid w:val="00F1185D"/>
    <w:rsid w:val="00F141FF"/>
    <w:rsid w:val="00F17523"/>
    <w:rsid w:val="00F25A11"/>
    <w:rsid w:val="00F26180"/>
    <w:rsid w:val="00F26E8E"/>
    <w:rsid w:val="00F271CA"/>
    <w:rsid w:val="00F27E21"/>
    <w:rsid w:val="00F3109E"/>
    <w:rsid w:val="00F3116D"/>
    <w:rsid w:val="00F405A6"/>
    <w:rsid w:val="00F417FA"/>
    <w:rsid w:val="00F43F7E"/>
    <w:rsid w:val="00F51A44"/>
    <w:rsid w:val="00F52402"/>
    <w:rsid w:val="00F547F4"/>
    <w:rsid w:val="00F552B1"/>
    <w:rsid w:val="00F61E83"/>
    <w:rsid w:val="00F65710"/>
    <w:rsid w:val="00F670DC"/>
    <w:rsid w:val="00F70103"/>
    <w:rsid w:val="00F71381"/>
    <w:rsid w:val="00F71988"/>
    <w:rsid w:val="00F73440"/>
    <w:rsid w:val="00F73FE4"/>
    <w:rsid w:val="00F75382"/>
    <w:rsid w:val="00F75657"/>
    <w:rsid w:val="00F76E65"/>
    <w:rsid w:val="00F803BB"/>
    <w:rsid w:val="00F841D6"/>
    <w:rsid w:val="00F91681"/>
    <w:rsid w:val="00F92C3C"/>
    <w:rsid w:val="00F933B7"/>
    <w:rsid w:val="00F94F54"/>
    <w:rsid w:val="00FA2296"/>
    <w:rsid w:val="00FA2487"/>
    <w:rsid w:val="00FA32BF"/>
    <w:rsid w:val="00FA50E8"/>
    <w:rsid w:val="00FB15F0"/>
    <w:rsid w:val="00FB2410"/>
    <w:rsid w:val="00FB252C"/>
    <w:rsid w:val="00FB31A8"/>
    <w:rsid w:val="00FB4AB0"/>
    <w:rsid w:val="00FB593B"/>
    <w:rsid w:val="00FB5EFA"/>
    <w:rsid w:val="00FB6AD1"/>
    <w:rsid w:val="00FB7F75"/>
    <w:rsid w:val="00FC03C4"/>
    <w:rsid w:val="00FC08CF"/>
    <w:rsid w:val="00FC1EB9"/>
    <w:rsid w:val="00FC3311"/>
    <w:rsid w:val="00FC3749"/>
    <w:rsid w:val="00FC43D5"/>
    <w:rsid w:val="00FC4570"/>
    <w:rsid w:val="00FC4B82"/>
    <w:rsid w:val="00FC4D8B"/>
    <w:rsid w:val="00FD3B9F"/>
    <w:rsid w:val="00FD3E96"/>
    <w:rsid w:val="00FD6A9E"/>
    <w:rsid w:val="00FE15FE"/>
    <w:rsid w:val="00FE2856"/>
    <w:rsid w:val="00FE3614"/>
    <w:rsid w:val="00FE6A01"/>
    <w:rsid w:val="00FE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AB3E"/>
  <w15:docId w15:val="{456AAE28-3CC3-4B6D-AFB3-CB82BE76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27"/>
    <w:pPr>
      <w:spacing w:after="240" w:line="240" w:lineRule="auto"/>
      <w:ind w:left="720" w:right="720" w:hanging="72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02A9"/>
    <w:pPr>
      <w:tabs>
        <w:tab w:val="center" w:pos="4680"/>
        <w:tab w:val="right" w:pos="9360"/>
      </w:tabs>
    </w:pPr>
  </w:style>
  <w:style w:type="character" w:customStyle="1" w:styleId="FooterChar">
    <w:name w:val="Footer Char"/>
    <w:basedOn w:val="DefaultParagraphFont"/>
    <w:link w:val="Footer"/>
    <w:uiPriority w:val="99"/>
    <w:rsid w:val="00BD02A9"/>
    <w:rPr>
      <w:rFonts w:ascii="Times New Roman" w:eastAsia="Calibri" w:hAnsi="Times New Roman" w:cs="Times New Roman"/>
      <w:sz w:val="24"/>
    </w:rPr>
  </w:style>
  <w:style w:type="paragraph" w:styleId="FootnoteText">
    <w:name w:val="footnote text"/>
    <w:basedOn w:val="Normal"/>
    <w:link w:val="FootnoteTextChar"/>
    <w:uiPriority w:val="99"/>
    <w:unhideWhenUsed/>
    <w:rsid w:val="00BD02A9"/>
    <w:rPr>
      <w:sz w:val="20"/>
      <w:szCs w:val="20"/>
    </w:rPr>
  </w:style>
  <w:style w:type="character" w:customStyle="1" w:styleId="FootnoteTextChar">
    <w:name w:val="Footnote Text Char"/>
    <w:basedOn w:val="DefaultParagraphFont"/>
    <w:link w:val="FootnoteText"/>
    <w:uiPriority w:val="99"/>
    <w:rsid w:val="00BD02A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D02A9"/>
    <w:rPr>
      <w:vertAlign w:val="superscript"/>
    </w:rPr>
  </w:style>
  <w:style w:type="paragraph" w:styleId="ListParagraph">
    <w:name w:val="List Paragraph"/>
    <w:basedOn w:val="Normal"/>
    <w:uiPriority w:val="34"/>
    <w:qFormat/>
    <w:rsid w:val="00BD02A9"/>
  </w:style>
  <w:style w:type="paragraph" w:styleId="Header">
    <w:name w:val="header"/>
    <w:basedOn w:val="Normal"/>
    <w:link w:val="HeaderChar"/>
    <w:uiPriority w:val="99"/>
    <w:unhideWhenUsed/>
    <w:rsid w:val="00E51128"/>
    <w:pPr>
      <w:tabs>
        <w:tab w:val="center" w:pos="4680"/>
        <w:tab w:val="right" w:pos="9360"/>
      </w:tabs>
      <w:spacing w:after="0"/>
    </w:pPr>
  </w:style>
  <w:style w:type="character" w:customStyle="1" w:styleId="HeaderChar">
    <w:name w:val="Header Char"/>
    <w:basedOn w:val="DefaultParagraphFont"/>
    <w:link w:val="Header"/>
    <w:uiPriority w:val="99"/>
    <w:rsid w:val="00E51128"/>
    <w:rPr>
      <w:rFonts w:ascii="Times New Roman" w:eastAsia="Calibri" w:hAnsi="Times New Roman" w:cs="Times New Roman"/>
      <w:sz w:val="24"/>
    </w:rPr>
  </w:style>
  <w:style w:type="paragraph" w:customStyle="1" w:styleId="Default">
    <w:name w:val="Default"/>
    <w:rsid w:val="001233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1233B5"/>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1315"/>
    <w:pPr>
      <w:widowControl w:val="0"/>
      <w:autoSpaceDE w:val="0"/>
      <w:autoSpaceDN w:val="0"/>
      <w:spacing w:before="10" w:after="0"/>
      <w:ind w:left="0" w:right="0" w:firstLine="0"/>
    </w:pPr>
    <w:rPr>
      <w:rFonts w:eastAsia="Times New Roman"/>
      <w:szCs w:val="24"/>
    </w:rPr>
  </w:style>
  <w:style w:type="character" w:customStyle="1" w:styleId="BodyTextChar">
    <w:name w:val="Body Text Char"/>
    <w:basedOn w:val="DefaultParagraphFont"/>
    <w:link w:val="BodyText"/>
    <w:uiPriority w:val="1"/>
    <w:rsid w:val="007513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0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D3"/>
    <w:rPr>
      <w:rFonts w:ascii="Segoe UI" w:eastAsia="Calibri" w:hAnsi="Segoe UI" w:cs="Segoe UI"/>
      <w:sz w:val="18"/>
      <w:szCs w:val="18"/>
    </w:rPr>
  </w:style>
  <w:style w:type="paragraph" w:styleId="NoSpacing">
    <w:name w:val="No Spacing"/>
    <w:uiPriority w:val="1"/>
    <w:qFormat/>
    <w:rsid w:val="00FD3E96"/>
    <w:pPr>
      <w:spacing w:after="0" w:line="240" w:lineRule="auto"/>
      <w:ind w:left="720" w:right="720" w:hanging="720"/>
    </w:pPr>
    <w:rPr>
      <w:rFonts w:ascii="Times New Roman" w:eastAsia="Calibri" w:hAnsi="Times New Roman" w:cs="Times New Roman"/>
      <w:sz w:val="24"/>
    </w:rPr>
  </w:style>
  <w:style w:type="character" w:styleId="Hyperlink">
    <w:name w:val="Hyperlink"/>
    <w:basedOn w:val="DefaultParagraphFont"/>
    <w:uiPriority w:val="99"/>
    <w:unhideWhenUsed/>
    <w:rsid w:val="00CA5A11"/>
    <w:rPr>
      <w:color w:val="0000FF"/>
      <w:u w:val="single"/>
    </w:rPr>
  </w:style>
  <w:style w:type="character" w:styleId="UnresolvedMention">
    <w:name w:val="Unresolved Mention"/>
    <w:basedOn w:val="DefaultParagraphFont"/>
    <w:uiPriority w:val="99"/>
    <w:semiHidden/>
    <w:unhideWhenUsed/>
    <w:rsid w:val="003D5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46B0-600C-435E-B60A-9E0F00C8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Aldana</dc:creator>
  <cp:lastModifiedBy>OfficeActivation2</cp:lastModifiedBy>
  <cp:revision>13</cp:revision>
  <cp:lastPrinted>2021-07-20T04:40:00Z</cp:lastPrinted>
  <dcterms:created xsi:type="dcterms:W3CDTF">2021-07-20T03:36:00Z</dcterms:created>
  <dcterms:modified xsi:type="dcterms:W3CDTF">2022-09-30T04:19:00Z</dcterms:modified>
</cp:coreProperties>
</file>